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F5" w:rsidRPr="001E308D" w:rsidRDefault="007268F5" w:rsidP="007268F5">
      <w:pPr>
        <w:pStyle w:val="Title"/>
        <w:rPr>
          <w:rFonts w:ascii="Century Gothic" w:hAnsi="Century Gothic"/>
        </w:rPr>
      </w:pPr>
      <w:r w:rsidRPr="001E308D">
        <w:rPr>
          <w:rFonts w:ascii="Century Gothic" w:hAnsi="Century Gothic"/>
        </w:rPr>
        <w:t>Frequently Asked Questions</w:t>
      </w:r>
    </w:p>
    <w:p w:rsidR="007268F5" w:rsidRPr="001E308D" w:rsidRDefault="004516D6" w:rsidP="007268F5">
      <w:pPr>
        <w:pStyle w:val="Heading1"/>
        <w:rPr>
          <w:rFonts w:ascii="Century Gothic" w:hAnsi="Century Gothic"/>
        </w:rPr>
      </w:pPr>
      <w:r>
        <w:rPr>
          <w:rFonts w:ascii="Century Gothic" w:hAnsi="Century Gothic"/>
        </w:rPr>
        <w:t>What</w:t>
      </w:r>
      <w:r w:rsidR="007268F5" w:rsidRPr="001E308D">
        <w:rPr>
          <w:rFonts w:ascii="Century Gothic" w:hAnsi="Century Gothic"/>
        </w:rPr>
        <w:t xml:space="preserve"> is the Compass Practice Transf</w:t>
      </w:r>
      <w:bookmarkStart w:id="0" w:name="_GoBack"/>
      <w:bookmarkEnd w:id="0"/>
      <w:r w:rsidR="007268F5" w:rsidRPr="001E308D">
        <w:rPr>
          <w:rFonts w:ascii="Century Gothic" w:hAnsi="Century Gothic"/>
        </w:rPr>
        <w:t xml:space="preserve">ormation Network (Compass PTN)? </w:t>
      </w:r>
    </w:p>
    <w:p w:rsidR="007268F5" w:rsidRPr="001E308D" w:rsidRDefault="007268F5" w:rsidP="007268F5">
      <w:pPr>
        <w:rPr>
          <w:rFonts w:ascii="Century Gothic" w:hAnsi="Century Gothic"/>
          <w:szCs w:val="24"/>
        </w:rPr>
      </w:pPr>
      <w:r w:rsidRPr="001E308D">
        <w:rPr>
          <w:rFonts w:ascii="Century Gothic" w:hAnsi="Century Gothic"/>
          <w:szCs w:val="24"/>
        </w:rPr>
        <w:t>The Compass Practice Transformation Network (Compass PTN) was founded by the Iowa Healthcare Collaborative (IHC) and partners across Georgia, Iowa, Kansas, Nebraska, North Dakota, Oklahoma, and South Dakota as part of the Transforming Clinical Practice Initiative (TCPI). This grant’s purpose is to help clinicians across the United States proactively prepare for the impact of the recently enacted Medicare Acce</w:t>
      </w:r>
      <w:r w:rsidR="00E20C36">
        <w:rPr>
          <w:rFonts w:ascii="Century Gothic" w:hAnsi="Century Gothic"/>
          <w:szCs w:val="24"/>
        </w:rPr>
        <w:t xml:space="preserve">ss and CHIP Reauthorization Act of 2015 </w:t>
      </w:r>
      <w:r w:rsidRPr="001E308D">
        <w:rPr>
          <w:rFonts w:ascii="Century Gothic" w:hAnsi="Century Gothic"/>
          <w:szCs w:val="24"/>
        </w:rPr>
        <w:t>(MACRA) legislation.</w:t>
      </w:r>
    </w:p>
    <w:p w:rsidR="007268F5" w:rsidRPr="001E308D" w:rsidRDefault="007268F5" w:rsidP="007268F5">
      <w:pPr>
        <w:rPr>
          <w:rFonts w:ascii="Century Gothic" w:hAnsi="Century Gothic"/>
          <w:szCs w:val="24"/>
        </w:rPr>
      </w:pPr>
      <w:r w:rsidRPr="001E308D">
        <w:rPr>
          <w:rFonts w:ascii="Century Gothic" w:hAnsi="Century Gothic"/>
          <w:szCs w:val="24"/>
        </w:rPr>
        <w:t xml:space="preserve">The Compass PTN is one of 29 Practice Transformation Networks that was funded by a Center for Medicare &amp; Medicaid Innovation (CMMI or CMS Innovation Center) grant to provide support to primary and specialty healthcare professionals in achieving sustainable and quality care practices that will: </w:t>
      </w:r>
    </w:p>
    <w:p w:rsidR="007268F5" w:rsidRPr="001E308D" w:rsidRDefault="007268F5" w:rsidP="007268F5">
      <w:pPr>
        <w:pStyle w:val="Default"/>
        <w:numPr>
          <w:ilvl w:val="0"/>
          <w:numId w:val="3"/>
        </w:numPr>
        <w:rPr>
          <w:rFonts w:cstheme="minorBidi"/>
          <w:color w:val="auto"/>
        </w:rPr>
      </w:pPr>
      <w:r w:rsidRPr="001E308D">
        <w:rPr>
          <w:rFonts w:cstheme="minorBidi"/>
          <w:color w:val="auto"/>
        </w:rPr>
        <w:t>Improve health outcomes for patients;</w:t>
      </w:r>
    </w:p>
    <w:p w:rsidR="007268F5" w:rsidRPr="001E308D" w:rsidRDefault="007268F5" w:rsidP="007268F5">
      <w:pPr>
        <w:pStyle w:val="Default"/>
        <w:numPr>
          <w:ilvl w:val="0"/>
          <w:numId w:val="3"/>
        </w:numPr>
        <w:rPr>
          <w:rFonts w:cstheme="minorBidi"/>
          <w:color w:val="auto"/>
        </w:rPr>
      </w:pPr>
      <w:r w:rsidRPr="001E308D">
        <w:rPr>
          <w:color w:val="auto"/>
        </w:rPr>
        <w:t>Improve care coordination;</w:t>
      </w:r>
    </w:p>
    <w:p w:rsidR="007268F5" w:rsidRPr="001E308D" w:rsidRDefault="007268F5" w:rsidP="007268F5">
      <w:pPr>
        <w:pStyle w:val="Default"/>
        <w:numPr>
          <w:ilvl w:val="0"/>
          <w:numId w:val="3"/>
        </w:numPr>
        <w:rPr>
          <w:rFonts w:cstheme="minorBidi"/>
          <w:color w:val="auto"/>
        </w:rPr>
      </w:pPr>
      <w:r w:rsidRPr="001E308D">
        <w:rPr>
          <w:color w:val="auto"/>
        </w:rPr>
        <w:t>Better engage patients and families in their care;</w:t>
      </w:r>
    </w:p>
    <w:p w:rsidR="007268F5" w:rsidRPr="001E308D" w:rsidRDefault="007268F5" w:rsidP="007268F5">
      <w:pPr>
        <w:pStyle w:val="Default"/>
        <w:numPr>
          <w:ilvl w:val="0"/>
          <w:numId w:val="3"/>
        </w:numPr>
        <w:rPr>
          <w:rFonts w:cstheme="minorBidi"/>
          <w:color w:val="auto"/>
        </w:rPr>
      </w:pPr>
      <w:r w:rsidRPr="001E308D">
        <w:rPr>
          <w:color w:val="auto"/>
        </w:rPr>
        <w:t>Improve patient, clinician and staff satisfaction; and</w:t>
      </w:r>
    </w:p>
    <w:p w:rsidR="007268F5" w:rsidRPr="001E308D" w:rsidRDefault="007268F5" w:rsidP="007268F5">
      <w:pPr>
        <w:pStyle w:val="Default"/>
        <w:numPr>
          <w:ilvl w:val="0"/>
          <w:numId w:val="3"/>
        </w:numPr>
        <w:rPr>
          <w:rFonts w:cstheme="minorBidi"/>
          <w:color w:val="auto"/>
        </w:rPr>
      </w:pPr>
      <w:r w:rsidRPr="001E308D">
        <w:rPr>
          <w:color w:val="auto"/>
        </w:rPr>
        <w:t xml:space="preserve">Reduce the overall cost of care. </w:t>
      </w:r>
    </w:p>
    <w:p w:rsidR="007268F5" w:rsidRPr="001E308D" w:rsidRDefault="007268F5" w:rsidP="007268F5">
      <w:pPr>
        <w:pStyle w:val="Heading1"/>
        <w:rPr>
          <w:rFonts w:ascii="Century Gothic" w:hAnsi="Century Gothic"/>
        </w:rPr>
      </w:pPr>
      <w:r w:rsidRPr="001E308D">
        <w:rPr>
          <w:rFonts w:ascii="Century Gothic" w:hAnsi="Century Gothic"/>
        </w:rPr>
        <w:t xml:space="preserve">What is the CMS Transforming Clinical Practice Initiative (TCPI)? </w:t>
      </w:r>
    </w:p>
    <w:p w:rsidR="007268F5" w:rsidRPr="001E308D" w:rsidRDefault="007268F5" w:rsidP="007268F5">
      <w:pPr>
        <w:rPr>
          <w:rFonts w:ascii="Century Gothic" w:hAnsi="Century Gothic"/>
          <w:szCs w:val="24"/>
        </w:rPr>
      </w:pPr>
      <w:r w:rsidRPr="001E308D">
        <w:rPr>
          <w:rFonts w:ascii="Century Gothic" w:hAnsi="Century Gothic"/>
          <w:szCs w:val="24"/>
        </w:rPr>
        <w:t>The</w:t>
      </w:r>
      <w:r w:rsidR="00E20C36">
        <w:rPr>
          <w:rFonts w:ascii="Century Gothic" w:hAnsi="Century Gothic"/>
          <w:szCs w:val="24"/>
        </w:rPr>
        <w:t xml:space="preserve"> TCPI</w:t>
      </w:r>
      <w:r w:rsidRPr="001E308D">
        <w:rPr>
          <w:rFonts w:ascii="Century Gothic" w:hAnsi="Century Gothic"/>
          <w:szCs w:val="24"/>
        </w:rPr>
        <w:t xml:space="preserve"> is a national initiative funded by the CMS Innovation Center and is designed to provide</w:t>
      </w:r>
      <w:r w:rsidRPr="001E308D">
        <w:rPr>
          <w:rFonts w:ascii="Century Gothic" w:hAnsi="Century Gothic"/>
          <w:b/>
          <w:bCs/>
          <w:szCs w:val="24"/>
        </w:rPr>
        <w:t xml:space="preserve"> </w:t>
      </w:r>
      <w:r w:rsidRPr="001E308D">
        <w:rPr>
          <w:rFonts w:ascii="Century Gothic" w:hAnsi="Century Gothic"/>
          <w:bCs/>
          <w:szCs w:val="24"/>
        </w:rPr>
        <w:t xml:space="preserve">hands-on support </w:t>
      </w:r>
      <w:r w:rsidRPr="001E308D">
        <w:rPr>
          <w:rFonts w:ascii="Century Gothic" w:hAnsi="Century Gothic"/>
          <w:szCs w:val="24"/>
        </w:rPr>
        <w:t xml:space="preserve">to 140,000 physicians and other clinicians for </w:t>
      </w:r>
      <w:r w:rsidRPr="001E308D">
        <w:rPr>
          <w:rFonts w:ascii="Century Gothic" w:hAnsi="Century Gothic"/>
          <w:bCs/>
          <w:szCs w:val="24"/>
        </w:rPr>
        <w:t xml:space="preserve">developing the skills and tools needed </w:t>
      </w:r>
      <w:r w:rsidRPr="001E308D">
        <w:rPr>
          <w:rFonts w:ascii="Century Gothic" w:hAnsi="Century Gothic"/>
          <w:szCs w:val="24"/>
        </w:rPr>
        <w:t xml:space="preserve">to </w:t>
      </w:r>
      <w:r w:rsidRPr="001E308D">
        <w:rPr>
          <w:rFonts w:ascii="Century Gothic" w:hAnsi="Century Gothic"/>
          <w:bCs/>
          <w:szCs w:val="24"/>
        </w:rPr>
        <w:t xml:space="preserve">improve care delivery </w:t>
      </w:r>
      <w:r w:rsidRPr="001E308D">
        <w:rPr>
          <w:rFonts w:ascii="Century Gothic" w:hAnsi="Century Gothic"/>
          <w:szCs w:val="24"/>
        </w:rPr>
        <w:t xml:space="preserve">and </w:t>
      </w:r>
      <w:r w:rsidRPr="001E308D">
        <w:rPr>
          <w:rFonts w:ascii="Century Gothic" w:hAnsi="Century Gothic"/>
          <w:bCs/>
          <w:szCs w:val="24"/>
        </w:rPr>
        <w:t>transition to alternative payment models</w:t>
      </w:r>
      <w:r w:rsidRPr="001E308D">
        <w:rPr>
          <w:rFonts w:ascii="Century Gothic" w:hAnsi="Century Gothic"/>
          <w:szCs w:val="24"/>
        </w:rPr>
        <w:t>.</w:t>
      </w:r>
    </w:p>
    <w:p w:rsidR="007268F5" w:rsidRPr="001E308D" w:rsidRDefault="007268F5" w:rsidP="007268F5">
      <w:pPr>
        <w:rPr>
          <w:rFonts w:ascii="Century Gothic" w:hAnsi="Century Gothic"/>
          <w:iCs/>
          <w:szCs w:val="24"/>
        </w:rPr>
      </w:pPr>
      <w:r w:rsidRPr="001E308D">
        <w:rPr>
          <w:rFonts w:ascii="Century Gothic" w:hAnsi="Century Gothic"/>
          <w:iCs/>
          <w:szCs w:val="24"/>
        </w:rPr>
        <w:t>The initiative model is designed to align with both the Af</w:t>
      </w:r>
      <w:r w:rsidR="00E20C36">
        <w:rPr>
          <w:rFonts w:ascii="Century Gothic" w:hAnsi="Century Gothic"/>
          <w:iCs/>
          <w:szCs w:val="24"/>
        </w:rPr>
        <w:t>fordable Care Act (ACA) and MACRA</w:t>
      </w:r>
      <w:r w:rsidRPr="001E308D">
        <w:rPr>
          <w:rFonts w:ascii="Century Gothic" w:hAnsi="Century Gothic"/>
          <w:iCs/>
          <w:szCs w:val="24"/>
        </w:rPr>
        <w:t xml:space="preserve"> by promoting improved quality and reduced cost through five stages of practice transformation: </w:t>
      </w:r>
    </w:p>
    <w:p w:rsidR="007268F5" w:rsidRPr="001E308D" w:rsidRDefault="007268F5" w:rsidP="001D5F50">
      <w:pPr>
        <w:pStyle w:val="ListParagraph"/>
        <w:numPr>
          <w:ilvl w:val="0"/>
          <w:numId w:val="9"/>
        </w:numPr>
        <w:spacing w:line="259" w:lineRule="auto"/>
        <w:rPr>
          <w:rFonts w:ascii="Century Gothic" w:hAnsi="Century Gothic"/>
          <w:iCs/>
          <w:szCs w:val="24"/>
        </w:rPr>
      </w:pPr>
      <w:r w:rsidRPr="001E308D">
        <w:rPr>
          <w:rFonts w:ascii="Century Gothic" w:hAnsi="Century Gothic"/>
          <w:iCs/>
          <w:szCs w:val="24"/>
        </w:rPr>
        <w:t>Set aims</w:t>
      </w:r>
    </w:p>
    <w:p w:rsidR="007268F5" w:rsidRPr="001E308D" w:rsidRDefault="007268F5" w:rsidP="001D5F50">
      <w:pPr>
        <w:pStyle w:val="ListParagraph"/>
        <w:numPr>
          <w:ilvl w:val="0"/>
          <w:numId w:val="9"/>
        </w:numPr>
        <w:spacing w:line="259" w:lineRule="auto"/>
        <w:rPr>
          <w:rFonts w:ascii="Century Gothic" w:hAnsi="Century Gothic"/>
          <w:iCs/>
          <w:szCs w:val="24"/>
        </w:rPr>
      </w:pPr>
      <w:r w:rsidRPr="001E308D">
        <w:rPr>
          <w:rFonts w:ascii="Century Gothic" w:hAnsi="Century Gothic"/>
          <w:iCs/>
          <w:szCs w:val="24"/>
        </w:rPr>
        <w:t>Use data to drive care</w:t>
      </w:r>
    </w:p>
    <w:p w:rsidR="007268F5" w:rsidRPr="001E308D" w:rsidRDefault="007268F5" w:rsidP="001D5F50">
      <w:pPr>
        <w:pStyle w:val="ListParagraph"/>
        <w:numPr>
          <w:ilvl w:val="0"/>
          <w:numId w:val="9"/>
        </w:numPr>
        <w:spacing w:line="259" w:lineRule="auto"/>
        <w:rPr>
          <w:rFonts w:ascii="Century Gothic" w:hAnsi="Century Gothic"/>
          <w:iCs/>
          <w:szCs w:val="24"/>
        </w:rPr>
      </w:pPr>
      <w:r w:rsidRPr="001E308D">
        <w:rPr>
          <w:rFonts w:ascii="Century Gothic" w:hAnsi="Century Gothic"/>
          <w:iCs/>
          <w:szCs w:val="24"/>
        </w:rPr>
        <w:t>Achieve aims</w:t>
      </w:r>
    </w:p>
    <w:p w:rsidR="007268F5" w:rsidRPr="001E308D" w:rsidRDefault="007268F5" w:rsidP="001D5F50">
      <w:pPr>
        <w:pStyle w:val="ListParagraph"/>
        <w:numPr>
          <w:ilvl w:val="0"/>
          <w:numId w:val="9"/>
        </w:numPr>
        <w:spacing w:line="259" w:lineRule="auto"/>
        <w:rPr>
          <w:rFonts w:ascii="Century Gothic" w:hAnsi="Century Gothic"/>
          <w:iCs/>
          <w:szCs w:val="24"/>
        </w:rPr>
      </w:pPr>
      <w:r w:rsidRPr="001E308D">
        <w:rPr>
          <w:rFonts w:ascii="Century Gothic" w:hAnsi="Century Gothic"/>
          <w:iCs/>
          <w:szCs w:val="24"/>
        </w:rPr>
        <w:t>Achieve benchmark status</w:t>
      </w:r>
    </w:p>
    <w:p w:rsidR="007268F5" w:rsidRPr="001E308D" w:rsidRDefault="007268F5" w:rsidP="001D5F50">
      <w:pPr>
        <w:pStyle w:val="ListParagraph"/>
        <w:numPr>
          <w:ilvl w:val="0"/>
          <w:numId w:val="9"/>
        </w:numPr>
        <w:spacing w:line="259" w:lineRule="auto"/>
        <w:rPr>
          <w:rFonts w:ascii="Century Gothic" w:hAnsi="Century Gothic"/>
          <w:iCs/>
          <w:szCs w:val="24"/>
        </w:rPr>
      </w:pPr>
      <w:r w:rsidRPr="001E308D">
        <w:rPr>
          <w:rFonts w:ascii="Century Gothic" w:hAnsi="Century Gothic"/>
          <w:iCs/>
          <w:szCs w:val="24"/>
        </w:rPr>
        <w:t>Thrive as a business via pay for value approaches</w:t>
      </w:r>
    </w:p>
    <w:p w:rsidR="007268F5" w:rsidRPr="001E308D" w:rsidRDefault="007268F5" w:rsidP="007268F5">
      <w:pPr>
        <w:rPr>
          <w:rFonts w:ascii="Century Gothic" w:hAnsi="Century Gothic"/>
          <w:iCs/>
          <w:szCs w:val="24"/>
        </w:rPr>
      </w:pPr>
      <w:r w:rsidRPr="001E308D">
        <w:rPr>
          <w:rFonts w:ascii="Century Gothic" w:hAnsi="Century Gothic"/>
          <w:iCs/>
          <w:szCs w:val="24"/>
        </w:rPr>
        <w:lastRenderedPageBreak/>
        <w:t>TCPI establishes a collaborative, peer-based learning community and opportunity for stronger partnerships, bidirectional learning, strengthening of healthcare policy and sustainable methods and results for clinicians, patients and families.</w:t>
      </w:r>
    </w:p>
    <w:p w:rsidR="007268F5" w:rsidRPr="001E308D" w:rsidRDefault="007268F5" w:rsidP="007268F5">
      <w:pPr>
        <w:pStyle w:val="Heading1"/>
        <w:rPr>
          <w:rFonts w:ascii="Century Gothic" w:hAnsi="Century Gothic"/>
        </w:rPr>
      </w:pPr>
      <w:r w:rsidRPr="001E308D">
        <w:rPr>
          <w:rFonts w:ascii="Century Gothic" w:hAnsi="Century Gothic"/>
        </w:rPr>
        <w:t xml:space="preserve">What are the goals of TCPI? </w:t>
      </w:r>
    </w:p>
    <w:p w:rsidR="007268F5" w:rsidRPr="001E308D" w:rsidRDefault="007268F5" w:rsidP="007268F5">
      <w:pPr>
        <w:pStyle w:val="ListParagraph"/>
        <w:numPr>
          <w:ilvl w:val="0"/>
          <w:numId w:val="6"/>
        </w:numPr>
        <w:spacing w:line="259" w:lineRule="auto"/>
        <w:rPr>
          <w:rFonts w:ascii="Century Gothic" w:hAnsi="Century Gothic"/>
          <w:iCs/>
          <w:szCs w:val="24"/>
        </w:rPr>
      </w:pPr>
      <w:r w:rsidRPr="001E308D">
        <w:rPr>
          <w:rFonts w:ascii="Century Gothic" w:hAnsi="Century Gothic"/>
          <w:iCs/>
          <w:szCs w:val="24"/>
        </w:rPr>
        <w:t xml:space="preserve">Support more than 140,000 clinicians in their practice transformation goals </w:t>
      </w:r>
    </w:p>
    <w:p w:rsidR="007268F5" w:rsidRPr="001E308D" w:rsidRDefault="007268F5" w:rsidP="007268F5">
      <w:pPr>
        <w:pStyle w:val="ListParagraph"/>
        <w:numPr>
          <w:ilvl w:val="0"/>
          <w:numId w:val="6"/>
        </w:numPr>
        <w:spacing w:line="259" w:lineRule="auto"/>
        <w:rPr>
          <w:rFonts w:ascii="Century Gothic" w:hAnsi="Century Gothic"/>
          <w:iCs/>
          <w:szCs w:val="24"/>
        </w:rPr>
      </w:pPr>
      <w:r w:rsidRPr="001E308D">
        <w:rPr>
          <w:rFonts w:ascii="Century Gothic" w:hAnsi="Century Gothic"/>
          <w:iCs/>
          <w:szCs w:val="24"/>
        </w:rPr>
        <w:t xml:space="preserve">Improve health outcomes for millions of Medicare, Medicaid and Children’s Health Insurance Program (CHIP) beneficiaries and other patients </w:t>
      </w:r>
    </w:p>
    <w:p w:rsidR="007268F5" w:rsidRPr="001E308D" w:rsidRDefault="007268F5" w:rsidP="007268F5">
      <w:pPr>
        <w:pStyle w:val="ListParagraph"/>
        <w:numPr>
          <w:ilvl w:val="0"/>
          <w:numId w:val="6"/>
        </w:numPr>
        <w:spacing w:line="259" w:lineRule="auto"/>
        <w:rPr>
          <w:rFonts w:ascii="Century Gothic" w:hAnsi="Century Gothic"/>
          <w:iCs/>
          <w:szCs w:val="24"/>
        </w:rPr>
      </w:pPr>
      <w:r w:rsidRPr="001E308D">
        <w:rPr>
          <w:rFonts w:ascii="Century Gothic" w:hAnsi="Century Gothic"/>
          <w:iCs/>
          <w:szCs w:val="24"/>
        </w:rPr>
        <w:t>Reduce unnecessary hospitalizations for 5 million patients</w:t>
      </w:r>
    </w:p>
    <w:p w:rsidR="007268F5" w:rsidRPr="001E308D" w:rsidRDefault="007268F5" w:rsidP="007268F5">
      <w:pPr>
        <w:pStyle w:val="ListParagraph"/>
        <w:numPr>
          <w:ilvl w:val="0"/>
          <w:numId w:val="6"/>
        </w:numPr>
        <w:spacing w:line="259" w:lineRule="auto"/>
        <w:rPr>
          <w:rFonts w:ascii="Century Gothic" w:hAnsi="Century Gothic"/>
          <w:iCs/>
          <w:szCs w:val="24"/>
        </w:rPr>
      </w:pPr>
      <w:r w:rsidRPr="001E308D">
        <w:rPr>
          <w:rFonts w:ascii="Century Gothic" w:hAnsi="Century Gothic"/>
          <w:iCs/>
          <w:szCs w:val="24"/>
        </w:rPr>
        <w:t>Generate $1 to $4 billion in savings to the federal government and commercial payers</w:t>
      </w:r>
    </w:p>
    <w:p w:rsidR="007268F5" w:rsidRPr="001E308D" w:rsidRDefault="007268F5" w:rsidP="007268F5">
      <w:pPr>
        <w:pStyle w:val="ListParagraph"/>
        <w:numPr>
          <w:ilvl w:val="0"/>
          <w:numId w:val="6"/>
        </w:numPr>
        <w:spacing w:line="259" w:lineRule="auto"/>
        <w:rPr>
          <w:rFonts w:ascii="Century Gothic" w:hAnsi="Century Gothic"/>
          <w:iCs/>
          <w:szCs w:val="24"/>
        </w:rPr>
      </w:pPr>
      <w:r w:rsidRPr="001E308D">
        <w:rPr>
          <w:rFonts w:ascii="Century Gothic" w:hAnsi="Century Gothic"/>
          <w:iCs/>
          <w:szCs w:val="24"/>
        </w:rPr>
        <w:t xml:space="preserve">Sustain efficient care delivery by reducing unnecessary testing and procedures </w:t>
      </w:r>
    </w:p>
    <w:p w:rsidR="007268F5" w:rsidRPr="001E308D" w:rsidRDefault="007268F5" w:rsidP="007268F5">
      <w:pPr>
        <w:pStyle w:val="ListParagraph"/>
        <w:numPr>
          <w:ilvl w:val="0"/>
          <w:numId w:val="6"/>
        </w:numPr>
        <w:spacing w:line="259" w:lineRule="auto"/>
        <w:rPr>
          <w:rFonts w:ascii="Century Gothic" w:hAnsi="Century Gothic"/>
          <w:iCs/>
          <w:szCs w:val="24"/>
        </w:rPr>
      </w:pPr>
      <w:r w:rsidRPr="001E308D">
        <w:rPr>
          <w:rFonts w:ascii="Century Gothic" w:hAnsi="Century Gothic"/>
          <w:iCs/>
          <w:szCs w:val="24"/>
        </w:rPr>
        <w:t xml:space="preserve">Build the evidence base on practice transformation so that effective solutions can be scaled </w:t>
      </w:r>
    </w:p>
    <w:p w:rsidR="007268F5" w:rsidRPr="001E308D" w:rsidRDefault="007268F5" w:rsidP="007268F5">
      <w:pPr>
        <w:pStyle w:val="Heading1"/>
        <w:rPr>
          <w:rFonts w:ascii="Century Gothic" w:hAnsi="Century Gothic"/>
        </w:rPr>
      </w:pPr>
      <w:r w:rsidRPr="001E308D">
        <w:rPr>
          <w:rFonts w:ascii="Century Gothic" w:hAnsi="Century Gothic"/>
        </w:rPr>
        <w:t xml:space="preserve">How many Full-Time Equivalent (FTEs) employees/staff will it take to participate? </w:t>
      </w:r>
    </w:p>
    <w:p w:rsidR="007268F5" w:rsidRPr="001E308D" w:rsidRDefault="007268F5" w:rsidP="007268F5">
      <w:pPr>
        <w:rPr>
          <w:rFonts w:ascii="Century Gothic" w:hAnsi="Century Gothic"/>
          <w:szCs w:val="24"/>
        </w:rPr>
      </w:pPr>
      <w:r w:rsidRPr="001E308D">
        <w:rPr>
          <w:rFonts w:ascii="Century Gothic" w:hAnsi="Century Gothic"/>
          <w:szCs w:val="24"/>
        </w:rPr>
        <w:t>This initiative is designed to align initiatives and reporting requirements you are already working on and is not intended to require additional FTEs. Your clinic’s assessment and aims will determine how much time will be required and your designated Quality Improvement Advisor</w:t>
      </w:r>
      <w:r w:rsidR="00E20C36">
        <w:rPr>
          <w:rFonts w:ascii="Century Gothic" w:hAnsi="Century Gothic"/>
          <w:szCs w:val="24"/>
        </w:rPr>
        <w:t xml:space="preserve"> (QIA)</w:t>
      </w:r>
      <w:r w:rsidRPr="001E308D">
        <w:rPr>
          <w:rFonts w:ascii="Century Gothic" w:hAnsi="Century Gothic"/>
          <w:szCs w:val="24"/>
        </w:rPr>
        <w:t xml:space="preserve"> will guide you through this process as well as the selection of your quality team and identifying PTN resources to support your specific needs. With or without Compass PTN, clinicians and practices will need to invest time to successfully transform to value-based healthcare.</w:t>
      </w:r>
    </w:p>
    <w:p w:rsidR="007268F5" w:rsidRPr="001E308D" w:rsidRDefault="007268F5" w:rsidP="007268F5">
      <w:pPr>
        <w:pStyle w:val="Heading1"/>
        <w:rPr>
          <w:rFonts w:ascii="Century Gothic" w:hAnsi="Century Gothic"/>
        </w:rPr>
      </w:pPr>
      <w:r w:rsidRPr="001E308D">
        <w:rPr>
          <w:rFonts w:ascii="Century Gothic" w:hAnsi="Century Gothic"/>
        </w:rPr>
        <w:t xml:space="preserve">What makes the Compass PTN unique? </w:t>
      </w:r>
    </w:p>
    <w:p w:rsidR="007268F5" w:rsidRPr="001E308D" w:rsidRDefault="007268F5" w:rsidP="007268F5">
      <w:pPr>
        <w:rPr>
          <w:rFonts w:ascii="Century Gothic" w:hAnsi="Century Gothic"/>
          <w:szCs w:val="24"/>
        </w:rPr>
      </w:pPr>
      <w:r w:rsidRPr="001E308D">
        <w:rPr>
          <w:rFonts w:ascii="Century Gothic" w:hAnsi="Century Gothic"/>
          <w:szCs w:val="24"/>
        </w:rPr>
        <w:t>Compass PTN is committed to meeting clinics where they are with a flexible and proven approach of aligning and equipping providers with evidence-based models of care that thoughtfully utilizes data to drive quality, safety and measurable outcomes.  Since 2004</w:t>
      </w:r>
      <w:r w:rsidR="003972B8">
        <w:rPr>
          <w:rFonts w:ascii="Century Gothic" w:hAnsi="Century Gothic"/>
          <w:szCs w:val="24"/>
        </w:rPr>
        <w:t>,</w:t>
      </w:r>
      <w:r w:rsidRPr="001E308D">
        <w:rPr>
          <w:rFonts w:ascii="Century Gothic" w:hAnsi="Century Gothic"/>
          <w:szCs w:val="24"/>
        </w:rPr>
        <w:t xml:space="preserve"> the convener of Compass PTN, IHC has been a provider-led and patient-focused organization dedicated to promoting a culture of continuous improvement in healthcare. IHC plays a unique role in putting healthcare providers in a leadership position to drive clinical improvements and accelerate change and does so by focusing on three cornerstones: </w:t>
      </w:r>
    </w:p>
    <w:p w:rsidR="007268F5" w:rsidRPr="001E308D" w:rsidRDefault="007268F5" w:rsidP="007268F5">
      <w:pPr>
        <w:pStyle w:val="ListParagraph"/>
        <w:numPr>
          <w:ilvl w:val="0"/>
          <w:numId w:val="1"/>
        </w:numPr>
        <w:spacing w:after="0" w:line="240" w:lineRule="auto"/>
        <w:contextualSpacing w:val="0"/>
        <w:rPr>
          <w:rFonts w:ascii="Century Gothic" w:hAnsi="Century Gothic"/>
          <w:szCs w:val="24"/>
        </w:rPr>
      </w:pPr>
      <w:r w:rsidRPr="001E308D">
        <w:rPr>
          <w:rFonts w:ascii="Century Gothic" w:hAnsi="Century Gothic"/>
          <w:szCs w:val="24"/>
        </w:rPr>
        <w:t>Align and equip healthcare providers for continuous improvement</w:t>
      </w:r>
    </w:p>
    <w:p w:rsidR="007268F5" w:rsidRPr="001E308D" w:rsidRDefault="007268F5" w:rsidP="007268F5">
      <w:pPr>
        <w:pStyle w:val="ListParagraph"/>
        <w:numPr>
          <w:ilvl w:val="0"/>
          <w:numId w:val="1"/>
        </w:numPr>
        <w:spacing w:after="0" w:line="240" w:lineRule="auto"/>
        <w:contextualSpacing w:val="0"/>
        <w:rPr>
          <w:rFonts w:ascii="Century Gothic" w:hAnsi="Century Gothic"/>
          <w:szCs w:val="24"/>
        </w:rPr>
      </w:pPr>
      <w:r w:rsidRPr="001E308D">
        <w:rPr>
          <w:rFonts w:ascii="Century Gothic" w:hAnsi="Century Gothic"/>
          <w:szCs w:val="24"/>
        </w:rPr>
        <w:t>Promote responsible public reporting of healthcare information</w:t>
      </w:r>
    </w:p>
    <w:p w:rsidR="007268F5" w:rsidRPr="001E308D" w:rsidRDefault="007268F5" w:rsidP="007268F5">
      <w:pPr>
        <w:pStyle w:val="ListParagraph"/>
        <w:numPr>
          <w:ilvl w:val="0"/>
          <w:numId w:val="1"/>
        </w:numPr>
        <w:spacing w:after="0" w:line="240" w:lineRule="auto"/>
        <w:contextualSpacing w:val="0"/>
        <w:rPr>
          <w:rFonts w:ascii="Century Gothic" w:hAnsi="Century Gothic"/>
          <w:szCs w:val="24"/>
        </w:rPr>
      </w:pPr>
      <w:r w:rsidRPr="001E308D">
        <w:rPr>
          <w:rFonts w:ascii="Century Gothic" w:hAnsi="Century Gothic"/>
          <w:szCs w:val="24"/>
        </w:rPr>
        <w:t xml:space="preserve">Raise the standard of healthcare </w:t>
      </w:r>
    </w:p>
    <w:p w:rsidR="007268F5" w:rsidRPr="001E308D" w:rsidRDefault="007268F5" w:rsidP="007268F5">
      <w:pPr>
        <w:rPr>
          <w:rFonts w:ascii="Century Gothic" w:hAnsi="Century Gothic"/>
          <w:szCs w:val="24"/>
        </w:rPr>
      </w:pPr>
    </w:p>
    <w:p w:rsidR="007268F5" w:rsidRPr="001E308D" w:rsidRDefault="007268F5" w:rsidP="007268F5">
      <w:pPr>
        <w:rPr>
          <w:rFonts w:ascii="Century Gothic" w:hAnsi="Century Gothic"/>
          <w:szCs w:val="24"/>
        </w:rPr>
      </w:pPr>
      <w:r w:rsidRPr="001E308D">
        <w:rPr>
          <w:rFonts w:ascii="Century Gothic" w:hAnsi="Century Gothic"/>
          <w:szCs w:val="24"/>
        </w:rPr>
        <w:lastRenderedPageBreak/>
        <w:t xml:space="preserve">IHC has been recognized for its contributions on numerous grants and statewide strategies including: Hospital Engagement Network/Partnership </w:t>
      </w:r>
      <w:r w:rsidR="003972B8">
        <w:rPr>
          <w:rFonts w:ascii="Century Gothic" w:hAnsi="Century Gothic"/>
          <w:szCs w:val="24"/>
        </w:rPr>
        <w:t>f</w:t>
      </w:r>
      <w:r w:rsidRPr="001E308D">
        <w:rPr>
          <w:rFonts w:ascii="Century Gothic" w:hAnsi="Century Gothic"/>
          <w:szCs w:val="24"/>
        </w:rPr>
        <w:t xml:space="preserve">or Patients; State Innovation Model; Choosing Wisely; Health Literacy; Patient </w:t>
      </w:r>
      <w:r w:rsidR="003972B8">
        <w:rPr>
          <w:rFonts w:ascii="Century Gothic" w:hAnsi="Century Gothic"/>
          <w:szCs w:val="24"/>
        </w:rPr>
        <w:t xml:space="preserve">and </w:t>
      </w:r>
      <w:r w:rsidR="00E20C36">
        <w:rPr>
          <w:rFonts w:ascii="Century Gothic" w:hAnsi="Century Gothic"/>
          <w:szCs w:val="24"/>
        </w:rPr>
        <w:t xml:space="preserve">Family Engagement; </w:t>
      </w:r>
      <w:r w:rsidRPr="001E308D">
        <w:rPr>
          <w:rFonts w:ascii="Century Gothic" w:hAnsi="Century Gothic"/>
          <w:szCs w:val="24"/>
        </w:rPr>
        <w:t>1305; and numerous statewide work groups and strategies with the Iowa Department of Public Health.</w:t>
      </w:r>
    </w:p>
    <w:p w:rsidR="007268F5" w:rsidRPr="001E308D" w:rsidRDefault="007268F5" w:rsidP="007268F5">
      <w:pPr>
        <w:pStyle w:val="Heading1"/>
        <w:rPr>
          <w:rFonts w:ascii="Century Gothic" w:hAnsi="Century Gothic"/>
        </w:rPr>
      </w:pPr>
      <w:r w:rsidRPr="001E308D">
        <w:rPr>
          <w:rFonts w:ascii="Century Gothic" w:hAnsi="Century Gothic"/>
        </w:rPr>
        <w:t xml:space="preserve">What are they key benefits of joining? </w:t>
      </w:r>
    </w:p>
    <w:p w:rsidR="007268F5" w:rsidRPr="001E308D" w:rsidRDefault="007268F5" w:rsidP="007268F5">
      <w:pPr>
        <w:pStyle w:val="ListParagraph"/>
        <w:numPr>
          <w:ilvl w:val="0"/>
          <w:numId w:val="8"/>
        </w:numPr>
        <w:autoSpaceDE w:val="0"/>
        <w:autoSpaceDN w:val="0"/>
        <w:adjustRightInd w:val="0"/>
        <w:spacing w:after="0" w:line="240" w:lineRule="auto"/>
        <w:rPr>
          <w:rFonts w:ascii="Century Gothic" w:hAnsi="Century Gothic" w:cs="Century Gothic"/>
          <w:szCs w:val="24"/>
        </w:rPr>
      </w:pPr>
      <w:r w:rsidRPr="001E308D">
        <w:rPr>
          <w:rFonts w:ascii="Century Gothic" w:hAnsi="Century Gothic" w:cs="Century Gothic"/>
          <w:szCs w:val="24"/>
        </w:rPr>
        <w:t>Learn how to achieve and maintain benchmark status in order to thrive under MACRA and its value-based reimbursement models of Merit-based Incentive Payment System (MIPS</w:t>
      </w:r>
      <w:r w:rsidR="002C4656" w:rsidRPr="001E308D">
        <w:rPr>
          <w:rFonts w:ascii="Century Gothic" w:hAnsi="Century Gothic" w:cs="Century Gothic"/>
          <w:szCs w:val="24"/>
        </w:rPr>
        <w:t>)</w:t>
      </w:r>
      <w:r w:rsidR="002C4656">
        <w:rPr>
          <w:rFonts w:ascii="Century Gothic" w:hAnsi="Century Gothic" w:cs="Century Gothic"/>
          <w:szCs w:val="24"/>
        </w:rPr>
        <w:t xml:space="preserve"> or Advanced</w:t>
      </w:r>
      <w:r w:rsidRPr="001E308D">
        <w:rPr>
          <w:rFonts w:ascii="Century Gothic" w:hAnsi="Century Gothic" w:cs="Century Gothic"/>
          <w:szCs w:val="24"/>
        </w:rPr>
        <w:t xml:space="preserve"> Alternative Payment Models (APM</w:t>
      </w:r>
      <w:r w:rsidR="002C4656">
        <w:rPr>
          <w:rFonts w:ascii="Century Gothic" w:hAnsi="Century Gothic" w:cs="Century Gothic"/>
          <w:szCs w:val="24"/>
        </w:rPr>
        <w:t>s</w:t>
      </w:r>
      <w:r w:rsidRPr="001E308D">
        <w:rPr>
          <w:rFonts w:ascii="Century Gothic" w:hAnsi="Century Gothic" w:cs="Century Gothic"/>
          <w:szCs w:val="24"/>
        </w:rPr>
        <w:t>)</w:t>
      </w:r>
      <w:r w:rsidR="002C4656">
        <w:rPr>
          <w:rFonts w:ascii="Century Gothic" w:hAnsi="Century Gothic" w:cs="Century Gothic"/>
          <w:szCs w:val="24"/>
        </w:rPr>
        <w:t>.</w:t>
      </w:r>
      <w:r w:rsidRPr="001E308D">
        <w:rPr>
          <w:rFonts w:ascii="Century Gothic" w:hAnsi="Century Gothic" w:cs="Century Gothic"/>
          <w:szCs w:val="24"/>
        </w:rPr>
        <w:t xml:space="preserve"> </w:t>
      </w:r>
    </w:p>
    <w:p w:rsidR="007268F5" w:rsidRPr="001E308D" w:rsidRDefault="007268F5" w:rsidP="007268F5">
      <w:pPr>
        <w:pStyle w:val="ListParagraph"/>
        <w:numPr>
          <w:ilvl w:val="0"/>
          <w:numId w:val="8"/>
        </w:numPr>
        <w:autoSpaceDE w:val="0"/>
        <w:autoSpaceDN w:val="0"/>
        <w:adjustRightInd w:val="0"/>
        <w:spacing w:after="0" w:line="240" w:lineRule="auto"/>
        <w:rPr>
          <w:rFonts w:ascii="Century Gothic" w:hAnsi="Century Gothic" w:cs="Century Gothic"/>
          <w:szCs w:val="24"/>
        </w:rPr>
      </w:pPr>
      <w:r w:rsidRPr="001E308D">
        <w:rPr>
          <w:rFonts w:ascii="Century Gothic" w:hAnsi="Century Gothic" w:cs="Century Gothic"/>
          <w:bCs/>
          <w:szCs w:val="24"/>
        </w:rPr>
        <w:t xml:space="preserve">Take ownership of health care transformation </w:t>
      </w:r>
      <w:r w:rsidRPr="001E308D">
        <w:rPr>
          <w:rFonts w:ascii="Century Gothic" w:hAnsi="Century Gothic" w:cs="Century Gothic"/>
          <w:szCs w:val="24"/>
        </w:rPr>
        <w:t>to lead, guide and influence the future of care with the support of your Compass PTN peers.</w:t>
      </w:r>
    </w:p>
    <w:p w:rsidR="007268F5" w:rsidRPr="001E308D" w:rsidRDefault="007268F5" w:rsidP="007268F5">
      <w:pPr>
        <w:pStyle w:val="ListParagraph"/>
        <w:numPr>
          <w:ilvl w:val="0"/>
          <w:numId w:val="8"/>
        </w:numPr>
        <w:autoSpaceDE w:val="0"/>
        <w:autoSpaceDN w:val="0"/>
        <w:adjustRightInd w:val="0"/>
        <w:spacing w:after="0" w:line="240" w:lineRule="auto"/>
        <w:rPr>
          <w:rFonts w:ascii="Century Gothic" w:hAnsi="Century Gothic" w:cs="Century Gothic"/>
          <w:szCs w:val="24"/>
        </w:rPr>
      </w:pPr>
      <w:r w:rsidRPr="001E308D">
        <w:rPr>
          <w:rFonts w:ascii="Century Gothic" w:hAnsi="Century Gothic" w:cs="Century Gothic"/>
          <w:szCs w:val="24"/>
        </w:rPr>
        <w:t xml:space="preserve">Optimize health outcomes and safety for your patients with the assistance of a designated Quality Improvement Advisor who will work onsite with your practice to provide evidence-based quality improvement and patient engagement resources that align with your existing clinic processes and quality initiatives. </w:t>
      </w:r>
    </w:p>
    <w:p w:rsidR="007268F5" w:rsidRPr="001E308D" w:rsidRDefault="007268F5" w:rsidP="007268F5">
      <w:pPr>
        <w:pStyle w:val="ListParagraph"/>
        <w:numPr>
          <w:ilvl w:val="0"/>
          <w:numId w:val="8"/>
        </w:numPr>
        <w:autoSpaceDE w:val="0"/>
        <w:autoSpaceDN w:val="0"/>
        <w:adjustRightInd w:val="0"/>
        <w:spacing w:after="0" w:line="240" w:lineRule="auto"/>
        <w:rPr>
          <w:rFonts w:ascii="Century Gothic" w:hAnsi="Century Gothic" w:cs="Century Gothic"/>
          <w:szCs w:val="24"/>
        </w:rPr>
      </w:pPr>
      <w:r w:rsidRPr="001E308D">
        <w:rPr>
          <w:rFonts w:ascii="Century Gothic" w:hAnsi="Century Gothic" w:cs="Century Gothic"/>
          <w:szCs w:val="24"/>
        </w:rPr>
        <w:t>Enhanced data access, awareness and understanding of how it can be thoughtfully used to drive performance and how it will be used to measure benchmark status under MIPS</w:t>
      </w:r>
      <w:r w:rsidR="002C4656">
        <w:rPr>
          <w:rFonts w:ascii="Century Gothic" w:hAnsi="Century Gothic" w:cs="Century Gothic"/>
          <w:szCs w:val="24"/>
        </w:rPr>
        <w:t xml:space="preserve"> and </w:t>
      </w:r>
      <w:r w:rsidRPr="001E308D">
        <w:rPr>
          <w:rFonts w:ascii="Century Gothic" w:hAnsi="Century Gothic" w:cs="Century Gothic"/>
          <w:szCs w:val="24"/>
        </w:rPr>
        <w:t>APMs.</w:t>
      </w:r>
    </w:p>
    <w:p w:rsidR="007268F5" w:rsidRPr="001E308D" w:rsidRDefault="007268F5" w:rsidP="007268F5">
      <w:pPr>
        <w:pStyle w:val="ListParagraph"/>
        <w:numPr>
          <w:ilvl w:val="0"/>
          <w:numId w:val="8"/>
        </w:numPr>
        <w:autoSpaceDE w:val="0"/>
        <w:autoSpaceDN w:val="0"/>
        <w:adjustRightInd w:val="0"/>
        <w:spacing w:after="0" w:line="240" w:lineRule="auto"/>
        <w:rPr>
          <w:rFonts w:ascii="Century Gothic" w:hAnsi="Century Gothic" w:cs="Century Gothic"/>
          <w:szCs w:val="24"/>
        </w:rPr>
      </w:pPr>
      <w:r w:rsidRPr="001E308D">
        <w:rPr>
          <w:rFonts w:ascii="Century Gothic" w:hAnsi="Century Gothic" w:cs="Century Gothic"/>
          <w:szCs w:val="24"/>
        </w:rPr>
        <w:t xml:space="preserve">Get ahead of the 2019 mandated reimbursement curve and implement patient-centered, quality-focused strategies now that produce measurable results for your clinic and the people you serve. </w:t>
      </w:r>
      <w:r w:rsidR="002C4656">
        <w:rPr>
          <w:rFonts w:ascii="Century Gothic" w:hAnsi="Century Gothic" w:cs="Century Gothic"/>
          <w:szCs w:val="24"/>
        </w:rPr>
        <w:t>Performance m</w:t>
      </w:r>
      <w:r w:rsidRPr="001E308D">
        <w:rPr>
          <w:rFonts w:ascii="Century Gothic" w:hAnsi="Century Gothic" w:cs="Century Gothic"/>
          <w:szCs w:val="24"/>
        </w:rPr>
        <w:t>easurement begins January</w:t>
      </w:r>
      <w:r w:rsidR="002C4656">
        <w:rPr>
          <w:rFonts w:ascii="Century Gothic" w:hAnsi="Century Gothic" w:cs="Century Gothic"/>
          <w:szCs w:val="24"/>
        </w:rPr>
        <w:t xml:space="preserve"> 1,</w:t>
      </w:r>
      <w:r w:rsidRPr="001E308D">
        <w:rPr>
          <w:rFonts w:ascii="Century Gothic" w:hAnsi="Century Gothic" w:cs="Century Gothic"/>
          <w:szCs w:val="24"/>
        </w:rPr>
        <w:t xml:space="preserve"> 2017.</w:t>
      </w:r>
    </w:p>
    <w:p w:rsidR="007268F5" w:rsidRPr="001E308D" w:rsidRDefault="007268F5" w:rsidP="007268F5">
      <w:pPr>
        <w:pStyle w:val="ListParagraph"/>
        <w:numPr>
          <w:ilvl w:val="0"/>
          <w:numId w:val="8"/>
        </w:numPr>
        <w:autoSpaceDE w:val="0"/>
        <w:autoSpaceDN w:val="0"/>
        <w:adjustRightInd w:val="0"/>
        <w:spacing w:after="0" w:line="240" w:lineRule="auto"/>
        <w:rPr>
          <w:rFonts w:ascii="Century Gothic" w:hAnsi="Century Gothic" w:cs="Century Gothic"/>
          <w:szCs w:val="24"/>
        </w:rPr>
      </w:pPr>
      <w:r w:rsidRPr="001E308D">
        <w:rPr>
          <w:rFonts w:ascii="Century Gothic" w:hAnsi="Century Gothic" w:cs="Century Gothic"/>
          <w:szCs w:val="24"/>
        </w:rPr>
        <w:t>Collaborate with local, regional and national colleagues and clinics to accelerate your own innovative care strategies.</w:t>
      </w:r>
    </w:p>
    <w:p w:rsidR="007268F5" w:rsidRPr="001E308D" w:rsidRDefault="007268F5" w:rsidP="007268F5">
      <w:pPr>
        <w:pStyle w:val="Heading1"/>
        <w:rPr>
          <w:rFonts w:ascii="Century Gothic" w:hAnsi="Century Gothic"/>
          <w:strike/>
        </w:rPr>
      </w:pPr>
      <w:r w:rsidRPr="001E308D">
        <w:rPr>
          <w:rFonts w:ascii="Century Gothic" w:hAnsi="Century Gothic"/>
        </w:rPr>
        <w:t xml:space="preserve">Why should you participate in the Compass PTN? </w:t>
      </w:r>
    </w:p>
    <w:p w:rsidR="007268F5" w:rsidRPr="001E308D" w:rsidRDefault="007268F5" w:rsidP="007268F5">
      <w:pPr>
        <w:rPr>
          <w:rFonts w:ascii="Century Gothic" w:hAnsi="Century Gothic"/>
          <w:szCs w:val="24"/>
        </w:rPr>
      </w:pPr>
      <w:r w:rsidRPr="001E308D">
        <w:rPr>
          <w:rFonts w:ascii="Century Gothic" w:hAnsi="Century Gothic"/>
          <w:szCs w:val="24"/>
        </w:rPr>
        <w:t xml:space="preserve">By the end of 2016, 85% of all traditional fee-for-service Medicare Part B services will be tied to quality and value. Over the next </w:t>
      </w:r>
      <w:r w:rsidR="002C4656">
        <w:rPr>
          <w:rFonts w:ascii="Century Gothic" w:hAnsi="Century Gothic"/>
          <w:szCs w:val="24"/>
        </w:rPr>
        <w:t>seven years</w:t>
      </w:r>
      <w:r w:rsidRPr="001E308D">
        <w:rPr>
          <w:rFonts w:ascii="Century Gothic" w:hAnsi="Century Gothic"/>
          <w:szCs w:val="24"/>
        </w:rPr>
        <w:t>, all Physician Quality Reporting System (PQRS) Eligible Professionals (EP) will be reimbursed according to where they fall within various performance thresholds. The bi-partisan passed MACRA law consolidates the PQRS, Value-Based Payment Modifier (Value Modifier), and Electronic Health Record (EHR and Meaningful Use) Incentive Programs.</w:t>
      </w:r>
    </w:p>
    <w:p w:rsidR="007268F5" w:rsidRPr="001E308D" w:rsidRDefault="007268F5" w:rsidP="001A61B3">
      <w:pPr>
        <w:tabs>
          <w:tab w:val="left" w:pos="9375"/>
        </w:tabs>
        <w:rPr>
          <w:rFonts w:ascii="Century Gothic" w:hAnsi="Century Gothic"/>
          <w:szCs w:val="24"/>
        </w:rPr>
      </w:pPr>
      <w:r w:rsidRPr="001E308D">
        <w:rPr>
          <w:rFonts w:ascii="Century Gothic" w:hAnsi="Century Gothic"/>
          <w:szCs w:val="24"/>
        </w:rPr>
        <w:t>This initiative was designed to provide qualifying clinicians the support and resources necessary to achieve benchmark status and thrive in value-based healthcare.</w:t>
      </w:r>
    </w:p>
    <w:p w:rsidR="007268F5" w:rsidRPr="001E308D" w:rsidRDefault="007268F5" w:rsidP="007268F5">
      <w:pPr>
        <w:pStyle w:val="Heading1"/>
        <w:rPr>
          <w:rFonts w:ascii="Century Gothic" w:hAnsi="Century Gothic"/>
        </w:rPr>
      </w:pPr>
      <w:r w:rsidRPr="001E308D">
        <w:rPr>
          <w:rFonts w:ascii="Century Gothic" w:hAnsi="Century Gothic"/>
        </w:rPr>
        <w:t>What is MACRA</w:t>
      </w:r>
      <w:r w:rsidR="006B7270">
        <w:rPr>
          <w:rFonts w:ascii="Century Gothic" w:hAnsi="Century Gothic"/>
        </w:rPr>
        <w:t>, now known as the QPP (Quality Payment Program)</w:t>
      </w:r>
      <w:r w:rsidRPr="001E308D">
        <w:rPr>
          <w:rFonts w:ascii="Century Gothic" w:hAnsi="Century Gothic"/>
        </w:rPr>
        <w:t xml:space="preserve">? </w:t>
      </w:r>
    </w:p>
    <w:p w:rsidR="007268F5" w:rsidRPr="001E308D" w:rsidRDefault="007268F5" w:rsidP="007268F5">
      <w:pPr>
        <w:rPr>
          <w:rFonts w:ascii="Century Gothic" w:hAnsi="Century Gothic" w:cs="Century Gothic"/>
          <w:szCs w:val="24"/>
        </w:rPr>
      </w:pPr>
      <w:r w:rsidRPr="001E308D">
        <w:rPr>
          <w:rFonts w:ascii="Century Gothic" w:hAnsi="Century Gothic"/>
          <w:szCs w:val="24"/>
        </w:rPr>
        <w:t>On April 16, 2015</w:t>
      </w:r>
      <w:r w:rsidRPr="001E308D">
        <w:rPr>
          <w:rFonts w:ascii="Century Gothic" w:hAnsi="Century Gothic" w:cs="Century Gothic"/>
          <w:szCs w:val="24"/>
        </w:rPr>
        <w:t>, federal legislation permanently eliminated the Sustainable Growth Rate (SGR) formula and replaced it with a new law known as the Medicare Access and CHIP Reauthorization Act of 2015, or MACRA.</w:t>
      </w:r>
      <w:r w:rsidR="00A05A19">
        <w:rPr>
          <w:rFonts w:ascii="Century Gothic" w:hAnsi="Century Gothic" w:cs="Century Gothic"/>
          <w:szCs w:val="24"/>
        </w:rPr>
        <w:t xml:space="preserve">  The final rule was released October 14, 2016 with a 60-day comment period.</w:t>
      </w:r>
      <w:r w:rsidRPr="001E308D">
        <w:rPr>
          <w:rFonts w:ascii="Century Gothic" w:hAnsi="Century Gothic" w:cs="Century Gothic"/>
          <w:szCs w:val="24"/>
        </w:rPr>
        <w:t xml:space="preserve"> Over the next seven years, all PQRS EPs will be reimbursed according</w:t>
      </w:r>
      <w:r w:rsidR="00A05A19">
        <w:rPr>
          <w:rFonts w:ascii="Century Gothic" w:hAnsi="Century Gothic" w:cs="Century Gothic"/>
          <w:szCs w:val="24"/>
        </w:rPr>
        <w:t xml:space="preserve"> </w:t>
      </w:r>
      <w:r w:rsidRPr="001E308D">
        <w:rPr>
          <w:rFonts w:ascii="Century Gothic" w:hAnsi="Century Gothic" w:cs="Century Gothic"/>
          <w:szCs w:val="24"/>
        </w:rPr>
        <w:t>to where they fall within various performance thresholds. The MACRA law consolidates the PQRS, Value Modifier and EHR Incentive Programs</w:t>
      </w:r>
      <w:r w:rsidR="002C4656">
        <w:rPr>
          <w:rFonts w:ascii="Century Gothic" w:hAnsi="Century Gothic" w:cs="Century Gothic"/>
          <w:szCs w:val="24"/>
        </w:rPr>
        <w:t xml:space="preserve"> into a single reporting program</w:t>
      </w:r>
      <w:r w:rsidRPr="001E308D">
        <w:rPr>
          <w:rFonts w:ascii="Century Gothic" w:hAnsi="Century Gothic" w:cs="Century Gothic"/>
          <w:szCs w:val="24"/>
        </w:rPr>
        <w:t>. By end of 2016, 85% of all traditional fee-for-service Medicare payments will be tied to quality and value.</w:t>
      </w:r>
      <w:r w:rsidR="006B7270">
        <w:rPr>
          <w:rFonts w:ascii="Century Gothic" w:hAnsi="Century Gothic" w:cs="Century Gothic"/>
          <w:szCs w:val="24"/>
        </w:rPr>
        <w:t xml:space="preserve">  CMS has officially re-named the portion of MACRA that impacts clinician payment as the Quality Payment Program, or QPP.</w:t>
      </w:r>
      <w:r w:rsidR="00FF39E0">
        <w:rPr>
          <w:rFonts w:ascii="Century Gothic" w:hAnsi="Century Gothic" w:cs="Century Gothic"/>
          <w:szCs w:val="24"/>
        </w:rPr>
        <w:t xml:space="preserve">  CMS has released a very helpful resource website at qpp.cms.gov.</w:t>
      </w:r>
    </w:p>
    <w:p w:rsidR="00591778" w:rsidRDefault="007268F5" w:rsidP="007268F5">
      <w:pPr>
        <w:rPr>
          <w:rFonts w:ascii="Century Gothic" w:hAnsi="Century Gothic" w:cs="Century Gothic"/>
          <w:szCs w:val="24"/>
        </w:rPr>
      </w:pPr>
      <w:r w:rsidRPr="001E308D">
        <w:rPr>
          <w:rFonts w:ascii="Century Gothic" w:hAnsi="Century Gothic" w:cs="Century Gothic"/>
          <w:szCs w:val="24"/>
        </w:rPr>
        <w:t xml:space="preserve">MACRA is a budget neutral model where clinicians will be required to choose between MIPS or an APM. Under MIPS, clinicians will be given a composite performance score and where they land on the curve compared to benchmark status will determine whether they receive an upward, downward or no payment adjustment. Under APM, qualifying participants will be given varying incentives with potentially higher risks and rewards. </w:t>
      </w:r>
    </w:p>
    <w:p w:rsidR="00591778" w:rsidRDefault="00591778" w:rsidP="007268F5">
      <w:pPr>
        <w:rPr>
          <w:rFonts w:ascii="Century Gothic" w:eastAsiaTheme="majorEastAsia" w:hAnsi="Century Gothic" w:cstheme="majorBidi"/>
          <w:b/>
          <w:bCs/>
          <w:spacing w:val="4"/>
          <w:szCs w:val="28"/>
          <w:highlight w:val="yellow"/>
        </w:rPr>
      </w:pPr>
      <w:r w:rsidRPr="001174E1">
        <w:rPr>
          <w:rFonts w:ascii="Century Gothic" w:hAnsi="Century Gothic" w:cs="Century Gothic"/>
          <w:b/>
          <w:szCs w:val="24"/>
        </w:rPr>
        <w:t>Pick Your Pace</w:t>
      </w:r>
      <w:r w:rsidR="00A05A19">
        <w:rPr>
          <w:rFonts w:ascii="Century Gothic" w:hAnsi="Century Gothic" w:cs="Century Gothic"/>
          <w:b/>
          <w:szCs w:val="24"/>
        </w:rPr>
        <w:t xml:space="preserve"> – 2017 Transition Year</w:t>
      </w:r>
    </w:p>
    <w:p w:rsidR="00591778" w:rsidRPr="001174E1" w:rsidRDefault="00591778" w:rsidP="00591778">
      <w:pPr>
        <w:pStyle w:val="NormalWeb"/>
        <w:shd w:val="clear" w:color="auto" w:fill="FFFFFF"/>
        <w:spacing w:before="0" w:beforeAutospacing="0" w:after="210" w:afterAutospacing="0"/>
        <w:rPr>
          <w:rFonts w:ascii="Century Gothic" w:hAnsi="Century Gothic"/>
          <w:color w:val="000000" w:themeColor="text1"/>
        </w:rPr>
      </w:pPr>
      <w:r w:rsidRPr="001174E1">
        <w:rPr>
          <w:rFonts w:ascii="Century Gothic" w:hAnsi="Century Gothic"/>
          <w:color w:val="000000" w:themeColor="text1"/>
        </w:rPr>
        <w:t>To ease the transition for the 2017 performance year, there are varying extents for organizations to either participate in, or alternatively, be exempt from MIPS. Here is a brief summary of the options:</w:t>
      </w:r>
    </w:p>
    <w:p w:rsidR="00591778" w:rsidRPr="001174E1" w:rsidRDefault="00591778" w:rsidP="00591778">
      <w:pPr>
        <w:numPr>
          <w:ilvl w:val="0"/>
          <w:numId w:val="11"/>
        </w:numPr>
        <w:shd w:val="clear" w:color="auto" w:fill="FFFFFF"/>
        <w:spacing w:after="0" w:line="240" w:lineRule="auto"/>
        <w:ind w:left="300"/>
        <w:rPr>
          <w:rFonts w:ascii="Century Gothic" w:hAnsi="Century Gothic"/>
          <w:color w:val="000000" w:themeColor="text1"/>
        </w:rPr>
      </w:pPr>
      <w:r w:rsidRPr="001174E1">
        <w:rPr>
          <w:rStyle w:val="Strong"/>
          <w:rFonts w:ascii="Century Gothic" w:hAnsi="Century Gothic"/>
          <w:color w:val="000000" w:themeColor="text1"/>
        </w:rPr>
        <w:t>No participation: </w:t>
      </w:r>
      <w:r w:rsidRPr="001174E1">
        <w:rPr>
          <w:rFonts w:ascii="Century Gothic" w:hAnsi="Century Gothic"/>
          <w:color w:val="000000" w:themeColor="text1"/>
        </w:rPr>
        <w:t>Organizations not exempt from MIPS that do not send in any 2017 data will receive a negative 4% payment adjustment.</w:t>
      </w:r>
    </w:p>
    <w:p w:rsidR="00591778" w:rsidRPr="001174E1" w:rsidRDefault="00591778" w:rsidP="00591778">
      <w:pPr>
        <w:numPr>
          <w:ilvl w:val="0"/>
          <w:numId w:val="11"/>
        </w:numPr>
        <w:shd w:val="clear" w:color="auto" w:fill="FFFFFF"/>
        <w:spacing w:after="0" w:line="240" w:lineRule="auto"/>
        <w:ind w:left="300"/>
        <w:rPr>
          <w:rFonts w:ascii="Century Gothic" w:hAnsi="Century Gothic"/>
          <w:color w:val="000000" w:themeColor="text1"/>
        </w:rPr>
      </w:pPr>
      <w:r w:rsidRPr="001174E1">
        <w:rPr>
          <w:rStyle w:val="Strong"/>
          <w:rFonts w:ascii="Century Gothic" w:hAnsi="Century Gothic"/>
          <w:color w:val="000000" w:themeColor="text1"/>
        </w:rPr>
        <w:t>Report one measure for a minimum 90-day period to avoid a penalty: </w:t>
      </w:r>
      <w:r w:rsidRPr="001174E1">
        <w:rPr>
          <w:rFonts w:ascii="Century Gothic" w:hAnsi="Century Gothic"/>
          <w:color w:val="000000" w:themeColor="text1"/>
        </w:rPr>
        <w:t>Reporting only one Quality, ACI, or CPIA measure will earn enough MIPS points to avoid a penalty and possibly earn a small incentive. </w:t>
      </w:r>
    </w:p>
    <w:p w:rsidR="00591778" w:rsidRPr="001174E1" w:rsidRDefault="00591778" w:rsidP="00591778">
      <w:pPr>
        <w:numPr>
          <w:ilvl w:val="0"/>
          <w:numId w:val="11"/>
        </w:numPr>
        <w:shd w:val="clear" w:color="auto" w:fill="FFFFFF"/>
        <w:spacing w:after="0" w:line="240" w:lineRule="auto"/>
        <w:ind w:left="300"/>
        <w:rPr>
          <w:rFonts w:ascii="Century Gothic" w:hAnsi="Century Gothic"/>
          <w:color w:val="000000" w:themeColor="text1"/>
        </w:rPr>
      </w:pPr>
      <w:r w:rsidRPr="001174E1">
        <w:rPr>
          <w:rStyle w:val="Strong"/>
          <w:rFonts w:ascii="Century Gothic" w:hAnsi="Century Gothic"/>
          <w:color w:val="000000" w:themeColor="text1"/>
        </w:rPr>
        <w:t>Report more than one measure for a minimum 90-day period</w:t>
      </w:r>
      <w:r>
        <w:rPr>
          <w:rStyle w:val="Strong"/>
          <w:rFonts w:ascii="Century Gothic" w:hAnsi="Century Gothic"/>
          <w:color w:val="000000" w:themeColor="text1"/>
        </w:rPr>
        <w:t>, preferably the entire calendar year 2017</w:t>
      </w:r>
      <w:r w:rsidRPr="001174E1">
        <w:rPr>
          <w:rStyle w:val="Strong"/>
          <w:rFonts w:ascii="Century Gothic" w:hAnsi="Century Gothic"/>
          <w:color w:val="000000" w:themeColor="text1"/>
        </w:rPr>
        <w:t>:</w:t>
      </w:r>
      <w:r w:rsidRPr="001174E1">
        <w:rPr>
          <w:rFonts w:ascii="Century Gothic" w:hAnsi="Century Gothic"/>
          <w:color w:val="000000" w:themeColor="text1"/>
        </w:rPr>
        <w:t> Reporting more than one measure in any or all of the Quality, ACI, or CPIA categories avoids a penalty, maximizes the MIPS score, and potentially earns the highest possible incentive.</w:t>
      </w:r>
    </w:p>
    <w:p w:rsidR="00591778" w:rsidRPr="001174E1" w:rsidRDefault="00591778" w:rsidP="00591778">
      <w:pPr>
        <w:numPr>
          <w:ilvl w:val="0"/>
          <w:numId w:val="11"/>
        </w:numPr>
        <w:shd w:val="clear" w:color="auto" w:fill="FFFFFF"/>
        <w:spacing w:after="0" w:line="240" w:lineRule="auto"/>
        <w:ind w:left="300"/>
        <w:rPr>
          <w:rFonts w:ascii="Century Gothic" w:hAnsi="Century Gothic"/>
          <w:color w:val="000000" w:themeColor="text1"/>
        </w:rPr>
      </w:pPr>
      <w:r w:rsidRPr="001174E1">
        <w:rPr>
          <w:rStyle w:val="Strong"/>
          <w:rFonts w:ascii="Century Gothic" w:hAnsi="Century Gothic"/>
          <w:color w:val="000000" w:themeColor="text1"/>
        </w:rPr>
        <w:t>Participate in an Advanced APM:</w:t>
      </w:r>
      <w:r w:rsidRPr="001174E1">
        <w:rPr>
          <w:rFonts w:ascii="Century Gothic" w:hAnsi="Century Gothic"/>
          <w:color w:val="000000" w:themeColor="text1"/>
        </w:rPr>
        <w:t> Organizations that </w:t>
      </w:r>
      <w:hyperlink r:id="rId8" w:anchor="MIPS_What_is_an_Advanced_APM" w:history="1">
        <w:r w:rsidRPr="001174E1">
          <w:rPr>
            <w:rStyle w:val="Hyperlink"/>
            <w:rFonts w:ascii="Century Gothic" w:hAnsi="Century Gothic"/>
            <w:color w:val="000000" w:themeColor="text1"/>
          </w:rPr>
          <w:t>sufficiently participate</w:t>
        </w:r>
      </w:hyperlink>
      <w:r w:rsidRPr="001174E1">
        <w:rPr>
          <w:rFonts w:ascii="Century Gothic" w:hAnsi="Century Gothic"/>
          <w:color w:val="000000" w:themeColor="text1"/>
        </w:rPr>
        <w:t> through an Advanced APM earn a 5% Part B bonus and are exempt from MIPS.</w:t>
      </w:r>
    </w:p>
    <w:p w:rsidR="007268F5" w:rsidRPr="001174E1" w:rsidRDefault="007268F5" w:rsidP="007268F5">
      <w:pPr>
        <w:rPr>
          <w:rFonts w:ascii="Century Gothic" w:eastAsiaTheme="majorEastAsia" w:hAnsi="Century Gothic" w:cstheme="majorBidi"/>
          <w:b/>
          <w:bCs/>
          <w:spacing w:val="4"/>
          <w:szCs w:val="28"/>
          <w:highlight w:val="yellow"/>
        </w:rPr>
      </w:pPr>
    </w:p>
    <w:p w:rsidR="007268F5" w:rsidRPr="001174E1" w:rsidRDefault="00666AE0" w:rsidP="007268F5">
      <w:pPr>
        <w:pStyle w:val="Heading1"/>
        <w:rPr>
          <w:rFonts w:ascii="Century Gothic" w:hAnsi="Century Gothic"/>
        </w:rPr>
      </w:pPr>
      <w:r w:rsidRPr="001174E1">
        <w:rPr>
          <w:rFonts w:ascii="Century Gothic" w:hAnsi="Century Gothic"/>
        </w:rPr>
        <w:t xml:space="preserve">Who is eligible for MIPS? Are </w:t>
      </w:r>
      <w:r w:rsidR="007268F5" w:rsidRPr="001174E1">
        <w:rPr>
          <w:rFonts w:ascii="Century Gothic" w:hAnsi="Century Gothic"/>
        </w:rPr>
        <w:t>Rural Health Clinics and Federally Qualified Health Centers</w:t>
      </w:r>
      <w:r w:rsidRPr="001174E1">
        <w:rPr>
          <w:rFonts w:ascii="Century Gothic" w:hAnsi="Century Gothic"/>
        </w:rPr>
        <w:t xml:space="preserve"> eligible*, for example</w:t>
      </w:r>
      <w:r w:rsidR="007268F5" w:rsidRPr="001174E1">
        <w:rPr>
          <w:rFonts w:ascii="Century Gothic" w:hAnsi="Century Gothic"/>
        </w:rPr>
        <w:t xml:space="preserve">?  </w:t>
      </w:r>
    </w:p>
    <w:p w:rsidR="00666AE0" w:rsidRPr="001174E1" w:rsidRDefault="00666AE0" w:rsidP="001174E1">
      <w:pPr>
        <w:pStyle w:val="ListParagraph"/>
        <w:numPr>
          <w:ilvl w:val="0"/>
          <w:numId w:val="16"/>
        </w:numPr>
        <w:shd w:val="clear" w:color="auto" w:fill="FFFFFF"/>
        <w:spacing w:after="0" w:line="240" w:lineRule="auto"/>
        <w:rPr>
          <w:rFonts w:ascii="Century Gothic" w:eastAsia="Times New Roman" w:hAnsi="Century Gothic" w:cs="Times New Roman"/>
          <w:color w:val="000000" w:themeColor="text1"/>
          <w:szCs w:val="24"/>
          <w:lang w:eastAsia="en-US"/>
        </w:rPr>
      </w:pPr>
      <w:r>
        <w:rPr>
          <w:rFonts w:ascii="Century Gothic" w:eastAsia="Times New Roman" w:hAnsi="Century Gothic" w:cs="Times New Roman"/>
          <w:b/>
          <w:bCs/>
          <w:color w:val="000000" w:themeColor="text1"/>
          <w:szCs w:val="24"/>
          <w:lang w:eastAsia="en-US"/>
        </w:rPr>
        <w:t xml:space="preserve">Eligible clinicians in the </w:t>
      </w:r>
      <w:r w:rsidRPr="001174E1">
        <w:rPr>
          <w:rFonts w:ascii="Century Gothic" w:eastAsia="Times New Roman" w:hAnsi="Century Gothic" w:cs="Times New Roman"/>
          <w:b/>
          <w:bCs/>
          <w:color w:val="000000" w:themeColor="text1"/>
          <w:szCs w:val="24"/>
          <w:lang w:eastAsia="en-US"/>
        </w:rPr>
        <w:t>CY2017 and CY2018 performance years:</w:t>
      </w:r>
      <w:r w:rsidRPr="001174E1">
        <w:rPr>
          <w:rFonts w:ascii="Century Gothic" w:eastAsia="Times New Roman" w:hAnsi="Century Gothic" w:cs="Times New Roman"/>
          <w:color w:val="000000" w:themeColor="text1"/>
          <w:szCs w:val="24"/>
          <w:lang w:eastAsia="en-US"/>
        </w:rPr>
        <w:t> Physicians (MD/DO and DMD/DDS), Physician Assistants, Clinical Nurse Specialists, and Certified Registered Nurse Anesthetists</w:t>
      </w:r>
    </w:p>
    <w:p w:rsidR="00666AE0" w:rsidRPr="001174E1" w:rsidRDefault="00666AE0" w:rsidP="00666AE0">
      <w:pPr>
        <w:numPr>
          <w:ilvl w:val="0"/>
          <w:numId w:val="14"/>
        </w:numPr>
        <w:shd w:val="clear" w:color="auto" w:fill="FFFFFF"/>
        <w:spacing w:after="75" w:line="240" w:lineRule="auto"/>
        <w:ind w:left="300"/>
        <w:rPr>
          <w:rFonts w:ascii="Century Gothic" w:eastAsia="Times New Roman" w:hAnsi="Century Gothic"/>
          <w:color w:val="000000" w:themeColor="text1"/>
          <w:lang w:eastAsia="en-US"/>
        </w:rPr>
      </w:pPr>
      <w:r w:rsidRPr="001174E1">
        <w:rPr>
          <w:rFonts w:ascii="Century Gothic" w:hAnsi="Century Gothic"/>
          <w:color w:val="000000" w:themeColor="text1"/>
          <w:szCs w:val="24"/>
        </w:rPr>
        <w:t xml:space="preserve">Only </w:t>
      </w:r>
      <w:r w:rsidRPr="001174E1">
        <w:rPr>
          <w:rFonts w:ascii="Century Gothic" w:hAnsi="Century Gothic"/>
          <w:color w:val="000000" w:themeColor="text1"/>
        </w:rPr>
        <w:t>those eligible clinicians</w:t>
      </w:r>
      <w:r w:rsidRPr="00E17439">
        <w:rPr>
          <w:rFonts w:ascii="Century Gothic" w:hAnsi="Century Gothic"/>
          <w:color w:val="000000" w:themeColor="text1"/>
        </w:rPr>
        <w:t xml:space="preserve"> from the list a</w:t>
      </w:r>
      <w:r>
        <w:rPr>
          <w:rFonts w:ascii="Century Gothic" w:hAnsi="Century Gothic"/>
          <w:color w:val="000000" w:themeColor="text1"/>
        </w:rPr>
        <w:t>bove</w:t>
      </w:r>
      <w:r w:rsidRPr="001174E1">
        <w:rPr>
          <w:rFonts w:ascii="Century Gothic" w:hAnsi="Century Gothic"/>
          <w:color w:val="000000" w:themeColor="text1"/>
        </w:rPr>
        <w:t xml:space="preserve"> who bill for Medicare Part B (otherwise known as the Physician Fee Schedule) or Critical Access Hospital (CAH) Method II payments assigned to the CAH</w:t>
      </w:r>
      <w:r>
        <w:rPr>
          <w:rFonts w:ascii="Century Gothic" w:hAnsi="Century Gothic"/>
          <w:color w:val="000000" w:themeColor="text1"/>
        </w:rPr>
        <w:t xml:space="preserve"> are MIPS-eligible</w:t>
      </w:r>
    </w:p>
    <w:p w:rsidR="00666AE0" w:rsidRDefault="00666AE0" w:rsidP="00666AE0">
      <w:pPr>
        <w:numPr>
          <w:ilvl w:val="1"/>
          <w:numId w:val="14"/>
        </w:numPr>
        <w:shd w:val="clear" w:color="auto" w:fill="FFFFFF"/>
        <w:spacing w:after="0" w:line="240" w:lineRule="auto"/>
        <w:ind w:left="600"/>
        <w:rPr>
          <w:rFonts w:ascii="Century Gothic" w:hAnsi="Century Gothic"/>
          <w:color w:val="000000" w:themeColor="text1"/>
        </w:rPr>
      </w:pPr>
      <w:r w:rsidRPr="001174E1">
        <w:rPr>
          <w:rStyle w:val="Strong"/>
          <w:rFonts w:ascii="Century Gothic" w:hAnsi="Century Gothic"/>
          <w:color w:val="000000" w:themeColor="text1"/>
        </w:rPr>
        <w:t>Excluded from MIPS payment adjustments:</w:t>
      </w:r>
      <w:r w:rsidRPr="001174E1">
        <w:rPr>
          <w:rFonts w:ascii="Century Gothic" w:hAnsi="Century Gothic"/>
          <w:color w:val="000000" w:themeColor="text1"/>
        </w:rPr>
        <w:t xml:space="preserve"> Payments from Medicare Part A, Medicare Advantage Part C, Medicare Part D, </w:t>
      </w:r>
      <w:r w:rsidRPr="001174E1">
        <w:rPr>
          <w:rFonts w:ascii="Century Gothic" w:hAnsi="Century Gothic"/>
          <w:b/>
          <w:color w:val="000000" w:themeColor="text1"/>
        </w:rPr>
        <w:t>FQHC or Rural Health Clinic facility payments billed under all-inclusive payment methodologies</w:t>
      </w:r>
      <w:r w:rsidRPr="001174E1">
        <w:rPr>
          <w:rFonts w:ascii="Century Gothic" w:hAnsi="Century Gothic"/>
          <w:color w:val="000000" w:themeColor="text1"/>
        </w:rPr>
        <w:t>, and CAH Method I facility payments</w:t>
      </w:r>
    </w:p>
    <w:p w:rsidR="00666AE0" w:rsidRDefault="00666AE0" w:rsidP="001174E1">
      <w:pPr>
        <w:shd w:val="clear" w:color="auto" w:fill="FFFFFF"/>
        <w:spacing w:after="0" w:line="240" w:lineRule="auto"/>
        <w:ind w:left="240"/>
        <w:rPr>
          <w:rStyle w:val="Strong"/>
          <w:rFonts w:ascii="Century Gothic" w:hAnsi="Century Gothic"/>
          <w:color w:val="000000" w:themeColor="text1"/>
        </w:rPr>
      </w:pPr>
    </w:p>
    <w:p w:rsidR="00666AE0" w:rsidRPr="001174E1" w:rsidRDefault="00A31B36" w:rsidP="001174E1">
      <w:pPr>
        <w:shd w:val="clear" w:color="auto" w:fill="FFFFFF"/>
        <w:spacing w:after="0" w:line="240" w:lineRule="auto"/>
        <w:ind w:left="240"/>
        <w:rPr>
          <w:rFonts w:ascii="Century Gothic" w:hAnsi="Century Gothic"/>
          <w:i/>
          <w:color w:val="000000" w:themeColor="text1"/>
        </w:rPr>
      </w:pPr>
      <w:r>
        <w:rPr>
          <w:rStyle w:val="Strong"/>
          <w:rFonts w:ascii="Century Gothic" w:hAnsi="Century Gothic"/>
          <w:color w:val="000000" w:themeColor="text1"/>
        </w:rPr>
        <w:t>*</w:t>
      </w:r>
      <w:r w:rsidR="00666AE0" w:rsidRPr="001174E1">
        <w:rPr>
          <w:rStyle w:val="Strong"/>
          <w:rFonts w:ascii="Century Gothic" w:hAnsi="Century Gothic"/>
          <w:b w:val="0"/>
          <w:i/>
          <w:color w:val="000000" w:themeColor="text1"/>
        </w:rPr>
        <w:t>Although most FQHCs and RHCs are currently ineligible for MIPS, we encourage all clinical settings to prepare for the future of value-based reimbursement by focusing on improving quality and lowering costs</w:t>
      </w:r>
      <w:r w:rsidRPr="001174E1">
        <w:rPr>
          <w:rStyle w:val="Strong"/>
          <w:rFonts w:ascii="Century Gothic" w:hAnsi="Century Gothic"/>
          <w:b w:val="0"/>
          <w:i/>
          <w:color w:val="000000" w:themeColor="text1"/>
        </w:rPr>
        <w:t xml:space="preserve"> through initiatives such as Compass PTN</w:t>
      </w:r>
      <w:r w:rsidR="00666AE0" w:rsidRPr="001174E1">
        <w:rPr>
          <w:rStyle w:val="Strong"/>
          <w:rFonts w:ascii="Century Gothic" w:hAnsi="Century Gothic"/>
          <w:b w:val="0"/>
          <w:i/>
          <w:color w:val="000000" w:themeColor="text1"/>
        </w:rPr>
        <w:t>.</w:t>
      </w:r>
    </w:p>
    <w:p w:rsidR="00536A09" w:rsidRDefault="00536A09" w:rsidP="007268F5">
      <w:pPr>
        <w:rPr>
          <w:rFonts w:ascii="Century Gothic" w:hAnsi="Century Gothic"/>
          <w:szCs w:val="24"/>
          <w:highlight w:val="yellow"/>
        </w:rPr>
      </w:pPr>
    </w:p>
    <w:p w:rsidR="00666AE0" w:rsidRPr="001174E1" w:rsidRDefault="00666AE0" w:rsidP="007268F5">
      <w:pPr>
        <w:rPr>
          <w:rFonts w:ascii="Century Gothic" w:hAnsi="Century Gothic"/>
          <w:b/>
          <w:szCs w:val="24"/>
        </w:rPr>
      </w:pPr>
      <w:r w:rsidRPr="001174E1">
        <w:rPr>
          <w:rFonts w:ascii="Century Gothic" w:hAnsi="Century Gothic"/>
          <w:b/>
          <w:szCs w:val="24"/>
        </w:rPr>
        <w:t>Who is exempt from MIPS?</w:t>
      </w:r>
    </w:p>
    <w:p w:rsidR="007268F5" w:rsidRPr="001174E1" w:rsidRDefault="007268F5" w:rsidP="007268F5">
      <w:pPr>
        <w:rPr>
          <w:rFonts w:ascii="Century Gothic" w:hAnsi="Century Gothic"/>
          <w:szCs w:val="24"/>
        </w:rPr>
      </w:pPr>
      <w:r w:rsidRPr="001174E1">
        <w:rPr>
          <w:rFonts w:ascii="Century Gothic" w:hAnsi="Century Gothic"/>
          <w:szCs w:val="24"/>
        </w:rPr>
        <w:t>There are currently three defined exclusions:</w:t>
      </w:r>
    </w:p>
    <w:p w:rsidR="007268F5" w:rsidRPr="001174E1" w:rsidRDefault="00666AE0" w:rsidP="007268F5">
      <w:pPr>
        <w:pStyle w:val="ListParagraph"/>
        <w:numPr>
          <w:ilvl w:val="0"/>
          <w:numId w:val="10"/>
        </w:numPr>
        <w:spacing w:after="0" w:line="240" w:lineRule="auto"/>
        <w:contextualSpacing w:val="0"/>
        <w:rPr>
          <w:rFonts w:ascii="Century Gothic" w:hAnsi="Century Gothic"/>
          <w:szCs w:val="24"/>
        </w:rPr>
      </w:pPr>
      <w:r w:rsidRPr="001174E1">
        <w:rPr>
          <w:rFonts w:ascii="Century Gothic" w:hAnsi="Century Gothic"/>
          <w:szCs w:val="24"/>
        </w:rPr>
        <w:t xml:space="preserve">Clinicians </w:t>
      </w:r>
      <w:r w:rsidR="007268F5" w:rsidRPr="001174E1">
        <w:rPr>
          <w:rFonts w:ascii="Century Gothic" w:hAnsi="Century Gothic"/>
          <w:szCs w:val="24"/>
        </w:rPr>
        <w:t xml:space="preserve">who are in their first year of Medicare participation </w:t>
      </w:r>
    </w:p>
    <w:p w:rsidR="007268F5" w:rsidRPr="001174E1" w:rsidRDefault="00666AE0" w:rsidP="007268F5">
      <w:pPr>
        <w:pStyle w:val="ListParagraph"/>
        <w:numPr>
          <w:ilvl w:val="0"/>
          <w:numId w:val="10"/>
        </w:numPr>
        <w:spacing w:after="0" w:line="240" w:lineRule="auto"/>
        <w:contextualSpacing w:val="0"/>
        <w:rPr>
          <w:rFonts w:ascii="Century Gothic" w:hAnsi="Century Gothic"/>
          <w:szCs w:val="24"/>
        </w:rPr>
      </w:pPr>
      <w:r w:rsidRPr="001174E1">
        <w:rPr>
          <w:rFonts w:ascii="Century Gothic" w:hAnsi="Century Gothic"/>
          <w:szCs w:val="24"/>
        </w:rPr>
        <w:t xml:space="preserve">Clinicians </w:t>
      </w:r>
      <w:r w:rsidR="007268F5" w:rsidRPr="001174E1">
        <w:rPr>
          <w:rFonts w:ascii="Century Gothic" w:hAnsi="Century Gothic"/>
          <w:szCs w:val="24"/>
        </w:rPr>
        <w:t xml:space="preserve">who are participants in eligible </w:t>
      </w:r>
      <w:r w:rsidR="00E20C36" w:rsidRPr="001174E1">
        <w:rPr>
          <w:rFonts w:ascii="Century Gothic" w:hAnsi="Century Gothic"/>
          <w:szCs w:val="24"/>
        </w:rPr>
        <w:t xml:space="preserve">APM </w:t>
      </w:r>
      <w:r w:rsidR="007268F5" w:rsidRPr="001174E1">
        <w:rPr>
          <w:rFonts w:ascii="Century Gothic" w:hAnsi="Century Gothic"/>
          <w:szCs w:val="24"/>
        </w:rPr>
        <w:t xml:space="preserve">and who </w:t>
      </w:r>
      <w:r w:rsidRPr="001174E1">
        <w:rPr>
          <w:rFonts w:ascii="Century Gothic" w:hAnsi="Century Gothic"/>
          <w:szCs w:val="24"/>
        </w:rPr>
        <w:t xml:space="preserve">meet the requirements of a </w:t>
      </w:r>
      <w:r w:rsidR="007268F5" w:rsidRPr="001174E1">
        <w:rPr>
          <w:rFonts w:ascii="Century Gothic" w:hAnsi="Century Gothic"/>
          <w:szCs w:val="24"/>
          <w:u w:val="single"/>
        </w:rPr>
        <w:t>Qualifying</w:t>
      </w:r>
      <w:r w:rsidR="007268F5" w:rsidRPr="001174E1">
        <w:rPr>
          <w:rFonts w:ascii="Century Gothic" w:hAnsi="Century Gothic"/>
          <w:szCs w:val="24"/>
        </w:rPr>
        <w:t xml:space="preserve"> APM participant </w:t>
      </w:r>
      <w:r w:rsidRPr="001174E1">
        <w:rPr>
          <w:rFonts w:ascii="Century Gothic" w:hAnsi="Century Gothic"/>
          <w:szCs w:val="24"/>
        </w:rPr>
        <w:t>(QP)</w:t>
      </w:r>
    </w:p>
    <w:p w:rsidR="007268F5" w:rsidRPr="001174E1" w:rsidRDefault="007268F5" w:rsidP="007268F5">
      <w:pPr>
        <w:pStyle w:val="ListParagraph"/>
        <w:numPr>
          <w:ilvl w:val="0"/>
          <w:numId w:val="10"/>
        </w:numPr>
        <w:spacing w:after="0" w:line="240" w:lineRule="auto"/>
        <w:contextualSpacing w:val="0"/>
        <w:rPr>
          <w:rFonts w:ascii="Century Gothic" w:hAnsi="Century Gothic"/>
          <w:color w:val="000000" w:themeColor="text1"/>
          <w:szCs w:val="24"/>
        </w:rPr>
      </w:pPr>
      <w:r w:rsidRPr="001174E1">
        <w:rPr>
          <w:rFonts w:ascii="Century Gothic" w:hAnsi="Century Gothic"/>
          <w:szCs w:val="24"/>
        </w:rPr>
        <w:t xml:space="preserve">Those who fall under a low-volume threshold for treating Medicare patients </w:t>
      </w:r>
      <w:r w:rsidRPr="001174E1">
        <w:rPr>
          <w:rFonts w:ascii="Century Gothic" w:hAnsi="Century Gothic"/>
          <w:color w:val="000000" w:themeColor="text1"/>
          <w:szCs w:val="24"/>
        </w:rPr>
        <w:t>(</w:t>
      </w:r>
      <w:r w:rsidR="00591778" w:rsidRPr="001174E1">
        <w:rPr>
          <w:rFonts w:ascii="Century Gothic" w:hAnsi="Century Gothic"/>
          <w:color w:val="000000" w:themeColor="text1"/>
          <w:szCs w:val="24"/>
          <w:shd w:val="clear" w:color="auto" w:fill="F8F8F8"/>
        </w:rPr>
        <w:t>Medicare providers with $30,000 or less in billed Medicare Part B allowed charges</w:t>
      </w:r>
      <w:r w:rsidR="00591778" w:rsidRPr="001174E1">
        <w:rPr>
          <w:rStyle w:val="apple-converted-space"/>
          <w:rFonts w:ascii="Century Gothic" w:hAnsi="Century Gothic" w:hint="eastAsia"/>
          <w:color w:val="000000" w:themeColor="text1"/>
          <w:szCs w:val="24"/>
          <w:shd w:val="clear" w:color="auto" w:fill="F8F8F8"/>
        </w:rPr>
        <w:t> </w:t>
      </w:r>
      <w:r w:rsidR="00591778" w:rsidRPr="001174E1">
        <w:rPr>
          <w:rStyle w:val="Emphasis"/>
          <w:rFonts w:ascii="Century Gothic" w:hAnsi="Century Gothic"/>
          <w:b/>
          <w:bCs/>
          <w:color w:val="000000" w:themeColor="text1"/>
          <w:szCs w:val="24"/>
          <w:bdr w:val="none" w:sz="0" w:space="0" w:color="auto" w:frame="1"/>
          <w:shd w:val="clear" w:color="auto" w:fill="F8F8F8"/>
        </w:rPr>
        <w:t>or</w:t>
      </w:r>
      <w:r w:rsidR="00591778" w:rsidRPr="001174E1">
        <w:rPr>
          <w:rStyle w:val="apple-converted-space"/>
          <w:rFonts w:ascii="Century Gothic" w:hAnsi="Century Gothic" w:hint="eastAsia"/>
          <w:color w:val="000000" w:themeColor="text1"/>
          <w:szCs w:val="24"/>
          <w:shd w:val="clear" w:color="auto" w:fill="F8F8F8"/>
        </w:rPr>
        <w:t> </w:t>
      </w:r>
      <w:r w:rsidR="00591778" w:rsidRPr="001174E1">
        <w:rPr>
          <w:rFonts w:ascii="Century Gothic" w:hAnsi="Century Gothic"/>
          <w:color w:val="000000" w:themeColor="text1"/>
          <w:szCs w:val="24"/>
          <w:shd w:val="clear" w:color="auto" w:fill="F8F8F8"/>
        </w:rPr>
        <w:t>100 or fewer Medicare Part B patients in one year</w:t>
      </w:r>
      <w:r w:rsidRPr="001174E1">
        <w:rPr>
          <w:rFonts w:ascii="Century Gothic" w:hAnsi="Century Gothic"/>
          <w:color w:val="000000" w:themeColor="text1"/>
          <w:szCs w:val="24"/>
        </w:rPr>
        <w:t>)</w:t>
      </w:r>
    </w:p>
    <w:p w:rsidR="007268F5" w:rsidRPr="001E308D" w:rsidRDefault="007268F5" w:rsidP="007268F5">
      <w:pPr>
        <w:pStyle w:val="ListParagraph"/>
        <w:spacing w:after="0" w:line="240" w:lineRule="auto"/>
        <w:contextualSpacing w:val="0"/>
        <w:rPr>
          <w:rFonts w:ascii="Century Gothic" w:hAnsi="Century Gothic"/>
          <w:szCs w:val="24"/>
        </w:rPr>
      </w:pPr>
    </w:p>
    <w:p w:rsidR="007268F5" w:rsidRPr="001E308D" w:rsidRDefault="007268F5" w:rsidP="007268F5">
      <w:pPr>
        <w:rPr>
          <w:rFonts w:ascii="Century Gothic" w:hAnsi="Century Gothic"/>
          <w:szCs w:val="24"/>
        </w:rPr>
      </w:pPr>
      <w:r w:rsidRPr="001E308D">
        <w:rPr>
          <w:rFonts w:ascii="Century Gothic" w:hAnsi="Century Gothic"/>
          <w:szCs w:val="24"/>
        </w:rPr>
        <w:t xml:space="preserve">If an eligible professional participates in Medicare Part B and is not a qualifying participant in an eligible APM, then he/she will automatically be a participant in MIPS (unless it’s his/her first year of Medicare participation or he/she has a very small number of Medicare Part B patients). </w:t>
      </w:r>
    </w:p>
    <w:p w:rsidR="007268F5" w:rsidRPr="001E308D" w:rsidRDefault="007268F5" w:rsidP="007268F5">
      <w:pPr>
        <w:pStyle w:val="Heading1"/>
        <w:rPr>
          <w:rFonts w:ascii="Century Gothic" w:hAnsi="Century Gothic"/>
        </w:rPr>
      </w:pPr>
      <w:r w:rsidRPr="001E308D">
        <w:rPr>
          <w:rFonts w:ascii="Century Gothic" w:hAnsi="Century Gothic"/>
        </w:rPr>
        <w:t xml:space="preserve">How many providers will the Compass PTN serve? </w:t>
      </w:r>
    </w:p>
    <w:p w:rsidR="007268F5" w:rsidRPr="001E308D" w:rsidRDefault="007268F5" w:rsidP="007268F5">
      <w:pPr>
        <w:rPr>
          <w:rFonts w:ascii="Century Gothic" w:hAnsi="Century Gothic"/>
          <w:szCs w:val="24"/>
        </w:rPr>
      </w:pPr>
      <w:r w:rsidRPr="001E308D">
        <w:rPr>
          <w:rFonts w:ascii="Century Gothic" w:hAnsi="Century Gothic"/>
          <w:szCs w:val="24"/>
        </w:rPr>
        <w:t>The Compass PTN will serve over 7,000 primary and specialty care clin</w:t>
      </w:r>
      <w:r w:rsidR="00E20C36">
        <w:rPr>
          <w:rFonts w:ascii="Century Gothic" w:hAnsi="Century Gothic"/>
          <w:szCs w:val="24"/>
        </w:rPr>
        <w:t>icians across the United States, with a particular focus in Georgia, Iowa, Kansas, Nebraska, North Dakota, Oklahoma and South Dakota.</w:t>
      </w:r>
      <w:r w:rsidRPr="001E308D">
        <w:rPr>
          <w:rFonts w:ascii="Century Gothic" w:hAnsi="Century Gothic"/>
          <w:szCs w:val="24"/>
        </w:rPr>
        <w:t xml:space="preserve"> </w:t>
      </w:r>
    </w:p>
    <w:p w:rsidR="007268F5" w:rsidRPr="001E308D" w:rsidRDefault="007268F5" w:rsidP="007268F5">
      <w:pPr>
        <w:pStyle w:val="Heading1"/>
        <w:rPr>
          <w:rFonts w:ascii="Century Gothic" w:hAnsi="Century Gothic"/>
        </w:rPr>
      </w:pPr>
      <w:r w:rsidRPr="001E308D">
        <w:rPr>
          <w:rFonts w:ascii="Century Gothic" w:hAnsi="Century Gothic"/>
        </w:rPr>
        <w:t>What is a Quality Improvement Advisor</w:t>
      </w:r>
      <w:r w:rsidR="001E308D">
        <w:rPr>
          <w:rFonts w:ascii="Century Gothic" w:hAnsi="Century Gothic"/>
        </w:rPr>
        <w:t xml:space="preserve"> (QIA)</w:t>
      </w:r>
      <w:r w:rsidRPr="001E308D">
        <w:rPr>
          <w:rFonts w:ascii="Century Gothic" w:hAnsi="Century Gothic"/>
        </w:rPr>
        <w:t xml:space="preserve">? </w:t>
      </w:r>
    </w:p>
    <w:p w:rsidR="007268F5" w:rsidRPr="001E308D" w:rsidRDefault="007268F5" w:rsidP="007268F5">
      <w:pPr>
        <w:rPr>
          <w:rFonts w:ascii="Century Gothic" w:hAnsi="Century Gothic"/>
          <w:szCs w:val="24"/>
        </w:rPr>
      </w:pPr>
      <w:r w:rsidRPr="001E308D">
        <w:rPr>
          <w:rFonts w:ascii="Century Gothic" w:hAnsi="Century Gothic"/>
          <w:szCs w:val="24"/>
        </w:rPr>
        <w:t xml:space="preserve">The Compass PTN </w:t>
      </w:r>
      <w:r w:rsidR="00E20C36">
        <w:rPr>
          <w:rFonts w:ascii="Century Gothic" w:hAnsi="Century Gothic"/>
          <w:szCs w:val="24"/>
        </w:rPr>
        <w:t>QIA</w:t>
      </w:r>
      <w:r w:rsidRPr="001E308D">
        <w:rPr>
          <w:rFonts w:ascii="Century Gothic" w:hAnsi="Century Gothic"/>
          <w:szCs w:val="24"/>
        </w:rPr>
        <w:t xml:space="preserve"> is a healthcare professional assigned to provide guidance, support, education and evaluation.  Your experienced QIA will work with you and your staff to assess and identify the best way to ensure your clinic and your patients thrive under MACRA.  To ensure you are meeting clinical, operational and reporting requirements they may use: </w:t>
      </w:r>
    </w:p>
    <w:p w:rsidR="007268F5" w:rsidRPr="001E308D" w:rsidRDefault="007268F5" w:rsidP="007268F5">
      <w:pPr>
        <w:pStyle w:val="ListParagraph"/>
        <w:numPr>
          <w:ilvl w:val="0"/>
          <w:numId w:val="7"/>
        </w:numPr>
        <w:spacing w:line="259" w:lineRule="auto"/>
        <w:rPr>
          <w:rFonts w:ascii="Century Gothic" w:hAnsi="Century Gothic"/>
          <w:szCs w:val="24"/>
        </w:rPr>
      </w:pPr>
      <w:r w:rsidRPr="001E308D">
        <w:rPr>
          <w:rFonts w:ascii="Century Gothic" w:hAnsi="Century Gothic"/>
          <w:szCs w:val="24"/>
        </w:rPr>
        <w:t>Rapid cycle quality improvement, including PDSA (Plan, Do, Study Act)</w:t>
      </w:r>
    </w:p>
    <w:p w:rsidR="007268F5" w:rsidRPr="001E308D" w:rsidRDefault="007268F5" w:rsidP="007268F5">
      <w:pPr>
        <w:pStyle w:val="ListParagraph"/>
        <w:numPr>
          <w:ilvl w:val="0"/>
          <w:numId w:val="7"/>
        </w:numPr>
        <w:spacing w:line="259" w:lineRule="auto"/>
        <w:rPr>
          <w:rFonts w:ascii="Century Gothic" w:hAnsi="Century Gothic"/>
          <w:szCs w:val="24"/>
        </w:rPr>
      </w:pPr>
      <w:r w:rsidRPr="001E308D">
        <w:rPr>
          <w:rFonts w:ascii="Century Gothic" w:hAnsi="Century Gothic"/>
          <w:szCs w:val="24"/>
        </w:rPr>
        <w:t xml:space="preserve">Workflow optimization </w:t>
      </w:r>
    </w:p>
    <w:p w:rsidR="007268F5" w:rsidRPr="001E308D" w:rsidRDefault="007268F5" w:rsidP="007268F5">
      <w:pPr>
        <w:pStyle w:val="ListParagraph"/>
        <w:numPr>
          <w:ilvl w:val="0"/>
          <w:numId w:val="7"/>
        </w:numPr>
        <w:spacing w:line="259" w:lineRule="auto"/>
        <w:rPr>
          <w:rFonts w:ascii="Century Gothic" w:hAnsi="Century Gothic"/>
          <w:szCs w:val="24"/>
        </w:rPr>
      </w:pPr>
      <w:r w:rsidRPr="001E308D">
        <w:rPr>
          <w:rFonts w:ascii="Century Gothic" w:hAnsi="Century Gothic"/>
          <w:szCs w:val="24"/>
        </w:rPr>
        <w:t xml:space="preserve">Performance science, including Lean and Six Sigma </w:t>
      </w:r>
    </w:p>
    <w:p w:rsidR="007268F5" w:rsidRPr="001E308D" w:rsidRDefault="007268F5" w:rsidP="007268F5">
      <w:pPr>
        <w:pStyle w:val="ListParagraph"/>
        <w:numPr>
          <w:ilvl w:val="0"/>
          <w:numId w:val="7"/>
        </w:numPr>
        <w:spacing w:line="259" w:lineRule="auto"/>
        <w:rPr>
          <w:rFonts w:ascii="Century Gothic" w:hAnsi="Century Gothic"/>
          <w:szCs w:val="24"/>
        </w:rPr>
      </w:pPr>
      <w:r w:rsidRPr="001E308D">
        <w:rPr>
          <w:rFonts w:ascii="Century Gothic" w:hAnsi="Century Gothic"/>
          <w:szCs w:val="24"/>
        </w:rPr>
        <w:t>Evidence-based methods for healthcare improvement including those endorsed by Institute for Healthcare Improvement and Network for Regional Healthcare Improvement</w:t>
      </w:r>
    </w:p>
    <w:p w:rsidR="007268F5" w:rsidRPr="001E308D" w:rsidRDefault="007268F5" w:rsidP="007268F5">
      <w:pPr>
        <w:pStyle w:val="Heading1"/>
        <w:rPr>
          <w:rFonts w:ascii="Century Gothic" w:hAnsi="Century Gothic"/>
        </w:rPr>
      </w:pPr>
      <w:r w:rsidRPr="001E308D">
        <w:rPr>
          <w:rFonts w:ascii="Century Gothic" w:hAnsi="Century Gothic"/>
        </w:rPr>
        <w:t xml:space="preserve">Who is eligible? </w:t>
      </w:r>
    </w:p>
    <w:p w:rsidR="007268F5" w:rsidRPr="001E308D" w:rsidRDefault="007268F5" w:rsidP="007268F5">
      <w:pPr>
        <w:rPr>
          <w:rFonts w:ascii="Century Gothic" w:hAnsi="Century Gothic"/>
          <w:i/>
          <w:iCs/>
          <w:szCs w:val="24"/>
        </w:rPr>
      </w:pPr>
      <w:r w:rsidRPr="001E308D">
        <w:rPr>
          <w:rFonts w:ascii="Century Gothic" w:hAnsi="Century Gothic"/>
          <w:szCs w:val="24"/>
        </w:rPr>
        <w:t xml:space="preserve">Clinicians who are included in the CMS 2016 PQRS List of EPs and do not have more than 20% of their patient population enrolled in a Medicare ACO or other similar CMS advanced payment model are eligible to participate*. This includes primary care and specialty physicians, nurse practitioners, physician assistants, optometrists, oral surgeons, podiatrists, chiropractors, clinical social workers, physical therapists and occupational therapists, among others. </w:t>
      </w:r>
      <w:r w:rsidRPr="001E308D">
        <w:rPr>
          <w:rFonts w:ascii="Century Gothic" w:hAnsi="Century Gothic"/>
          <w:i/>
          <w:iCs/>
          <w:szCs w:val="24"/>
        </w:rPr>
        <w:t>*An assessment will be completed to determine eligibility.</w:t>
      </w:r>
    </w:p>
    <w:p w:rsidR="007268F5" w:rsidRPr="001E308D" w:rsidRDefault="007268F5" w:rsidP="007268F5">
      <w:pPr>
        <w:pStyle w:val="Heading1"/>
        <w:rPr>
          <w:rFonts w:ascii="Century Gothic" w:hAnsi="Century Gothic"/>
        </w:rPr>
      </w:pPr>
      <w:r w:rsidRPr="001E308D">
        <w:rPr>
          <w:rFonts w:ascii="Century Gothic" w:hAnsi="Century Gothic"/>
        </w:rPr>
        <w:t xml:space="preserve">Am I eligible if I used to be part of an ACO but am no longer enrolled? </w:t>
      </w:r>
    </w:p>
    <w:p w:rsidR="007268F5" w:rsidRPr="001E308D" w:rsidRDefault="007268F5" w:rsidP="007268F5">
      <w:pPr>
        <w:rPr>
          <w:rFonts w:ascii="Century Gothic" w:hAnsi="Century Gothic"/>
          <w:iCs/>
          <w:szCs w:val="24"/>
        </w:rPr>
      </w:pPr>
      <w:r w:rsidRPr="001E308D">
        <w:rPr>
          <w:rFonts w:ascii="Century Gothic" w:hAnsi="Century Gothic"/>
          <w:iCs/>
          <w:szCs w:val="24"/>
        </w:rPr>
        <w:t xml:space="preserve">Yes, but please contact </w:t>
      </w:r>
      <w:r w:rsidR="00536A09">
        <w:rPr>
          <w:rFonts w:ascii="Century Gothic" w:hAnsi="Century Gothic"/>
          <w:iCs/>
          <w:szCs w:val="24"/>
        </w:rPr>
        <w:t>Meg Nugent, Compass PTN Director,</w:t>
      </w:r>
      <w:r w:rsidRPr="001E308D">
        <w:rPr>
          <w:rFonts w:ascii="Century Gothic" w:hAnsi="Century Gothic"/>
          <w:iCs/>
          <w:szCs w:val="24"/>
        </w:rPr>
        <w:t xml:space="preserve"> at </w:t>
      </w:r>
      <w:hyperlink r:id="rId9" w:history="1">
        <w:r w:rsidR="00536A09" w:rsidRPr="00ED599B">
          <w:rPr>
            <w:rStyle w:val="Hyperlink"/>
            <w:rFonts w:ascii="Century Gothic" w:hAnsi="Century Gothic"/>
          </w:rPr>
          <w:t>nugentm</w:t>
        </w:r>
        <w:r w:rsidR="00536A09" w:rsidRPr="00ED599B" w:rsidDel="00536A09">
          <w:rPr>
            <w:rStyle w:val="Hyperlink"/>
            <w:rFonts w:ascii="Century Gothic" w:hAnsi="Century Gothic"/>
          </w:rPr>
          <w:t>johnsonlj</w:t>
        </w:r>
        <w:r w:rsidR="00536A09" w:rsidRPr="00ED599B">
          <w:rPr>
            <w:rStyle w:val="Hyperlink"/>
            <w:rFonts w:ascii="Century Gothic" w:hAnsi="Century Gothic"/>
          </w:rPr>
          <w:t>@ihconline.org</w:t>
        </w:r>
      </w:hyperlink>
      <w:r w:rsidRPr="001E308D">
        <w:rPr>
          <w:rFonts w:ascii="Century Gothic" w:hAnsi="Century Gothic"/>
        </w:rPr>
        <w:t xml:space="preserve"> </w:t>
      </w:r>
      <w:r w:rsidRPr="001E308D">
        <w:rPr>
          <w:rFonts w:ascii="Century Gothic" w:hAnsi="Century Gothic"/>
          <w:iCs/>
          <w:szCs w:val="24"/>
        </w:rPr>
        <w:t xml:space="preserve">to confirm your eligibility.  </w:t>
      </w:r>
    </w:p>
    <w:p w:rsidR="007268F5" w:rsidRPr="001E308D" w:rsidRDefault="007268F5" w:rsidP="007268F5">
      <w:pPr>
        <w:pStyle w:val="Heading1"/>
        <w:rPr>
          <w:rFonts w:ascii="Century Gothic" w:hAnsi="Century Gothic"/>
        </w:rPr>
      </w:pPr>
      <w:r w:rsidRPr="001E308D">
        <w:rPr>
          <w:rFonts w:ascii="Century Gothic" w:hAnsi="Century Gothic"/>
        </w:rPr>
        <w:t xml:space="preserve">What makes you ineligible to join the Compass PTN? </w:t>
      </w:r>
    </w:p>
    <w:p w:rsidR="007268F5" w:rsidRPr="001E308D" w:rsidRDefault="007268F5" w:rsidP="007268F5">
      <w:pPr>
        <w:rPr>
          <w:rFonts w:ascii="Century Gothic" w:hAnsi="Century Gothic"/>
          <w:b/>
          <w:iCs/>
          <w:szCs w:val="24"/>
        </w:rPr>
      </w:pPr>
      <w:r w:rsidRPr="001E308D">
        <w:rPr>
          <w:rFonts w:ascii="Century Gothic" w:hAnsi="Century Gothic"/>
          <w:szCs w:val="24"/>
        </w:rPr>
        <w:t>Clinicians and clinical practices that are part of a Pioneer A</w:t>
      </w:r>
      <w:r w:rsidR="00E20C36">
        <w:rPr>
          <w:rFonts w:ascii="Century Gothic" w:hAnsi="Century Gothic"/>
          <w:szCs w:val="24"/>
        </w:rPr>
        <w:t>CO</w:t>
      </w:r>
      <w:r w:rsidRPr="001E308D">
        <w:rPr>
          <w:rFonts w:ascii="Century Gothic" w:hAnsi="Century Gothic"/>
          <w:szCs w:val="24"/>
        </w:rPr>
        <w:t xml:space="preserve"> or have more than 20% of their patient population tied to a Medicare Shared Savings Program (MSSP), Multi-Payer Advanced Primary Care Practice (MAPCP) or the Comprehensive Primary Care Initiative (</w:t>
      </w:r>
      <w:r w:rsidR="00536A09" w:rsidRPr="001E308D">
        <w:rPr>
          <w:rFonts w:ascii="Century Gothic" w:hAnsi="Century Gothic"/>
          <w:szCs w:val="24"/>
        </w:rPr>
        <w:t>CPC</w:t>
      </w:r>
      <w:r w:rsidR="00536A09">
        <w:rPr>
          <w:rFonts w:ascii="Century Gothic" w:hAnsi="Century Gothic"/>
          <w:szCs w:val="24"/>
        </w:rPr>
        <w:t>i or CPC+</w:t>
      </w:r>
      <w:r w:rsidRPr="001E308D">
        <w:rPr>
          <w:rFonts w:ascii="Century Gothic" w:hAnsi="Century Gothic"/>
          <w:szCs w:val="24"/>
        </w:rPr>
        <w:t>)</w:t>
      </w:r>
      <w:r w:rsidR="00536A09">
        <w:rPr>
          <w:rFonts w:ascii="Century Gothic" w:hAnsi="Century Gothic"/>
          <w:szCs w:val="24"/>
        </w:rPr>
        <w:t xml:space="preserve"> </w:t>
      </w:r>
      <w:r w:rsidRPr="001E308D">
        <w:rPr>
          <w:rFonts w:ascii="Century Gothic" w:hAnsi="Century Gothic"/>
          <w:szCs w:val="24"/>
        </w:rPr>
        <w:t xml:space="preserve"> are ineligible.</w:t>
      </w:r>
      <w:r w:rsidRPr="001E308D">
        <w:rPr>
          <w:rFonts w:ascii="Century Gothic" w:hAnsi="Century Gothic"/>
          <w:strike/>
          <w:szCs w:val="24"/>
        </w:rPr>
        <w:t xml:space="preserve"> </w:t>
      </w:r>
      <w:r w:rsidR="00536A09">
        <w:rPr>
          <w:rFonts w:ascii="Century Gothic" w:hAnsi="Century Gothic"/>
          <w:strike/>
          <w:szCs w:val="24"/>
        </w:rPr>
        <w:t xml:space="preserve"> </w:t>
      </w:r>
    </w:p>
    <w:p w:rsidR="007268F5" w:rsidRPr="001E308D" w:rsidRDefault="007268F5" w:rsidP="007268F5">
      <w:pPr>
        <w:pStyle w:val="Heading1"/>
        <w:rPr>
          <w:rFonts w:ascii="Century Gothic" w:hAnsi="Century Gothic"/>
        </w:rPr>
      </w:pPr>
      <w:r w:rsidRPr="001E308D">
        <w:rPr>
          <w:rFonts w:ascii="Century Gothic" w:hAnsi="Century Gothic"/>
        </w:rPr>
        <w:t>What if I’m part of an ACO or other similar program with a commercial payor, like Blue Cross Blue Shield or Aetna – am I eligible to join the Compass PTN?</w:t>
      </w:r>
    </w:p>
    <w:p w:rsidR="007268F5" w:rsidRPr="001E308D" w:rsidRDefault="007268F5" w:rsidP="007268F5">
      <w:pPr>
        <w:rPr>
          <w:rFonts w:ascii="Century Gothic" w:hAnsi="Century Gothic"/>
        </w:rPr>
      </w:pPr>
      <w:r w:rsidRPr="001E308D">
        <w:rPr>
          <w:rFonts w:ascii="Century Gothic" w:hAnsi="Century Gothic"/>
        </w:rPr>
        <w:t>Yes. Participating in an ACO or other similar program with a commercial insurer or payor does not disqualify you from joining the Compass PTN.</w:t>
      </w:r>
    </w:p>
    <w:p w:rsidR="007268F5" w:rsidRPr="001E308D" w:rsidRDefault="007268F5" w:rsidP="007268F5">
      <w:pPr>
        <w:pStyle w:val="Heading1"/>
        <w:rPr>
          <w:rFonts w:ascii="Century Gothic" w:hAnsi="Century Gothic"/>
        </w:rPr>
      </w:pPr>
      <w:r w:rsidRPr="001E308D">
        <w:rPr>
          <w:rFonts w:ascii="Century Gothic" w:hAnsi="Century Gothic"/>
        </w:rPr>
        <w:t xml:space="preserve">How much does it cost to participate in the Compass PTN? </w:t>
      </w:r>
    </w:p>
    <w:p w:rsidR="007268F5" w:rsidRPr="001E308D" w:rsidRDefault="007268F5" w:rsidP="007268F5">
      <w:pPr>
        <w:rPr>
          <w:rFonts w:ascii="Century Gothic" w:hAnsi="Century Gothic"/>
          <w:iCs/>
          <w:szCs w:val="24"/>
        </w:rPr>
      </w:pPr>
      <w:r w:rsidRPr="001E308D">
        <w:rPr>
          <w:rFonts w:ascii="Century Gothic" w:hAnsi="Century Gothic"/>
          <w:iCs/>
          <w:szCs w:val="24"/>
        </w:rPr>
        <w:t xml:space="preserve">There is no cost for clinicians and practices to participate. This national initiative is funded through a four-year cooperative agreement. The Compass PTN is supported by Funding Opportunity Number CMS-1L1-15-003 from the U.S. Department of Health and Human Services, Centers for Medicare &amp; Medicaid Services. </w:t>
      </w:r>
    </w:p>
    <w:p w:rsidR="007268F5" w:rsidRPr="001E308D" w:rsidRDefault="007268F5" w:rsidP="007268F5">
      <w:pPr>
        <w:pStyle w:val="Heading1"/>
        <w:rPr>
          <w:rFonts w:ascii="Century Gothic" w:hAnsi="Century Gothic"/>
        </w:rPr>
      </w:pPr>
      <w:r w:rsidRPr="001E308D">
        <w:rPr>
          <w:rFonts w:ascii="Century Gothic" w:hAnsi="Century Gothic"/>
        </w:rPr>
        <w:t xml:space="preserve">What do you expect from me if I decide to participate in the Compass PTN? </w:t>
      </w:r>
    </w:p>
    <w:p w:rsidR="007268F5" w:rsidRPr="00EB11A3" w:rsidRDefault="007268F5" w:rsidP="00536A09">
      <w:pPr>
        <w:pStyle w:val="NoSpacing"/>
        <w:numPr>
          <w:ilvl w:val="0"/>
          <w:numId w:val="5"/>
        </w:numPr>
        <w:jc w:val="left"/>
        <w:rPr>
          <w:rFonts w:ascii="Century Gothic" w:hAnsi="Century Gothic"/>
          <w:sz w:val="24"/>
          <w:szCs w:val="24"/>
        </w:rPr>
      </w:pPr>
      <w:r w:rsidRPr="00EB11A3">
        <w:rPr>
          <w:rFonts w:ascii="Century Gothic" w:hAnsi="Century Gothic"/>
          <w:sz w:val="24"/>
          <w:szCs w:val="24"/>
        </w:rPr>
        <w:t>Join the PTN by completing the online enrollment process</w:t>
      </w:r>
      <w:r w:rsidR="00536A09">
        <w:rPr>
          <w:rFonts w:ascii="Century Gothic" w:hAnsi="Century Gothic"/>
          <w:sz w:val="24"/>
          <w:szCs w:val="24"/>
        </w:rPr>
        <w:t xml:space="preserve"> found here: </w:t>
      </w:r>
      <w:r w:rsidR="00536A09" w:rsidRPr="00536A09">
        <w:rPr>
          <w:rFonts w:ascii="Century Gothic" w:hAnsi="Century Gothic"/>
          <w:sz w:val="24"/>
          <w:szCs w:val="24"/>
        </w:rPr>
        <w:t>https://compassptn.qualitrac.com</w:t>
      </w:r>
      <w:r w:rsidR="00536A09">
        <w:rPr>
          <w:rFonts w:ascii="Century Gothic" w:hAnsi="Century Gothic"/>
          <w:sz w:val="24"/>
          <w:szCs w:val="24"/>
        </w:rPr>
        <w:t>.</w:t>
      </w:r>
    </w:p>
    <w:p w:rsidR="007268F5" w:rsidRPr="00EB11A3" w:rsidRDefault="007268F5" w:rsidP="007268F5">
      <w:pPr>
        <w:pStyle w:val="NoSpacing"/>
        <w:numPr>
          <w:ilvl w:val="0"/>
          <w:numId w:val="5"/>
        </w:numPr>
        <w:jc w:val="left"/>
        <w:rPr>
          <w:rFonts w:ascii="Century Gothic" w:hAnsi="Century Gothic"/>
          <w:sz w:val="24"/>
          <w:szCs w:val="24"/>
        </w:rPr>
      </w:pPr>
      <w:r w:rsidRPr="00EB11A3">
        <w:rPr>
          <w:rFonts w:ascii="Century Gothic" w:hAnsi="Century Gothic"/>
          <w:sz w:val="24"/>
          <w:szCs w:val="24"/>
        </w:rPr>
        <w:t xml:space="preserve">Register at </w:t>
      </w:r>
      <w:hyperlink r:id="rId10" w:history="1">
        <w:r w:rsidRPr="00EB11A3">
          <w:rPr>
            <w:rStyle w:val="Hyperlink"/>
            <w:rFonts w:ascii="Century Gothic" w:hAnsi="Century Gothic"/>
            <w:sz w:val="24"/>
            <w:szCs w:val="24"/>
          </w:rPr>
          <w:t>www.healthcarecommunities.org</w:t>
        </w:r>
      </w:hyperlink>
      <w:r w:rsidRPr="00EB11A3">
        <w:rPr>
          <w:rFonts w:ascii="Century Gothic" w:hAnsi="Century Gothic"/>
          <w:sz w:val="24"/>
          <w:szCs w:val="24"/>
        </w:rPr>
        <w:t xml:space="preserve"> to receive updates and information about the PTN</w:t>
      </w:r>
    </w:p>
    <w:p w:rsidR="007268F5" w:rsidRPr="00EB11A3" w:rsidRDefault="007268F5" w:rsidP="007268F5">
      <w:pPr>
        <w:pStyle w:val="NoSpacing"/>
        <w:numPr>
          <w:ilvl w:val="0"/>
          <w:numId w:val="5"/>
        </w:numPr>
        <w:jc w:val="left"/>
        <w:rPr>
          <w:rFonts w:ascii="Century Gothic" w:hAnsi="Century Gothic"/>
          <w:sz w:val="24"/>
          <w:szCs w:val="24"/>
        </w:rPr>
      </w:pPr>
      <w:r w:rsidRPr="00EB11A3">
        <w:rPr>
          <w:rFonts w:ascii="Century Gothic" w:hAnsi="Century Gothic"/>
          <w:sz w:val="24"/>
          <w:szCs w:val="24"/>
        </w:rPr>
        <w:t>Identity your clinic’s PTN point of contact</w:t>
      </w:r>
    </w:p>
    <w:p w:rsidR="007268F5" w:rsidRPr="001E308D" w:rsidRDefault="007268F5" w:rsidP="007268F5">
      <w:pPr>
        <w:pStyle w:val="NoSpacing"/>
        <w:numPr>
          <w:ilvl w:val="0"/>
          <w:numId w:val="5"/>
        </w:numPr>
        <w:jc w:val="left"/>
        <w:rPr>
          <w:rFonts w:ascii="Century Gothic" w:hAnsi="Century Gothic"/>
          <w:sz w:val="24"/>
          <w:szCs w:val="24"/>
        </w:rPr>
      </w:pPr>
      <w:r w:rsidRPr="00EB11A3">
        <w:rPr>
          <w:rFonts w:ascii="Century Gothic" w:hAnsi="Century Gothic"/>
          <w:sz w:val="24"/>
          <w:szCs w:val="24"/>
        </w:rPr>
        <w:t>Work with you</w:t>
      </w:r>
      <w:r w:rsidR="00B41C04" w:rsidRPr="00EB11A3">
        <w:rPr>
          <w:rFonts w:ascii="Century Gothic" w:hAnsi="Century Gothic"/>
          <w:sz w:val="24"/>
          <w:szCs w:val="24"/>
        </w:rPr>
        <w:t>r</w:t>
      </w:r>
      <w:r w:rsidRPr="001E308D">
        <w:rPr>
          <w:rFonts w:ascii="Century Gothic" w:hAnsi="Century Gothic"/>
          <w:sz w:val="24"/>
          <w:szCs w:val="24"/>
        </w:rPr>
        <w:t xml:space="preserve"> designated QIA to:</w:t>
      </w:r>
    </w:p>
    <w:p w:rsidR="007268F5" w:rsidRPr="001E308D" w:rsidRDefault="007268F5" w:rsidP="007268F5">
      <w:pPr>
        <w:pStyle w:val="NoSpacing"/>
        <w:numPr>
          <w:ilvl w:val="1"/>
          <w:numId w:val="5"/>
        </w:numPr>
        <w:jc w:val="left"/>
        <w:rPr>
          <w:rFonts w:ascii="Century Gothic" w:hAnsi="Century Gothic"/>
          <w:sz w:val="24"/>
          <w:szCs w:val="24"/>
        </w:rPr>
      </w:pPr>
      <w:r w:rsidRPr="001E308D">
        <w:rPr>
          <w:rFonts w:ascii="Century Gothic" w:hAnsi="Century Gothic"/>
          <w:sz w:val="24"/>
          <w:szCs w:val="24"/>
        </w:rPr>
        <w:t>Establish your improvement team</w:t>
      </w:r>
    </w:p>
    <w:p w:rsidR="007268F5" w:rsidRPr="001E308D" w:rsidRDefault="007268F5" w:rsidP="007268F5">
      <w:pPr>
        <w:pStyle w:val="NoSpacing"/>
        <w:numPr>
          <w:ilvl w:val="1"/>
          <w:numId w:val="5"/>
        </w:numPr>
        <w:jc w:val="left"/>
        <w:rPr>
          <w:rFonts w:ascii="Century Gothic" w:hAnsi="Century Gothic"/>
          <w:sz w:val="24"/>
          <w:szCs w:val="24"/>
        </w:rPr>
      </w:pPr>
      <w:r w:rsidRPr="001E308D">
        <w:rPr>
          <w:rFonts w:ascii="Century Gothic" w:hAnsi="Century Gothic"/>
          <w:sz w:val="24"/>
          <w:szCs w:val="24"/>
        </w:rPr>
        <w:t>Complete a Practice Assessment</w:t>
      </w:r>
    </w:p>
    <w:p w:rsidR="007268F5" w:rsidRPr="001E308D" w:rsidRDefault="007268F5" w:rsidP="007268F5">
      <w:pPr>
        <w:pStyle w:val="NoSpacing"/>
        <w:numPr>
          <w:ilvl w:val="1"/>
          <w:numId w:val="5"/>
        </w:numPr>
        <w:jc w:val="left"/>
        <w:rPr>
          <w:rFonts w:ascii="Century Gothic" w:hAnsi="Century Gothic"/>
          <w:sz w:val="24"/>
          <w:szCs w:val="24"/>
        </w:rPr>
      </w:pPr>
      <w:r w:rsidRPr="001E308D">
        <w:rPr>
          <w:rFonts w:ascii="Century Gothic" w:hAnsi="Century Gothic"/>
          <w:sz w:val="24"/>
          <w:szCs w:val="24"/>
        </w:rPr>
        <w:t>Set aims that align with your clinic’s goals, values and capabilities</w:t>
      </w:r>
    </w:p>
    <w:p w:rsidR="007268F5" w:rsidRPr="001E308D" w:rsidRDefault="007268F5" w:rsidP="007268F5">
      <w:pPr>
        <w:pStyle w:val="NoSpacing"/>
        <w:numPr>
          <w:ilvl w:val="1"/>
          <w:numId w:val="5"/>
        </w:numPr>
        <w:jc w:val="left"/>
        <w:rPr>
          <w:rFonts w:ascii="Century Gothic" w:hAnsi="Century Gothic"/>
          <w:sz w:val="24"/>
          <w:szCs w:val="24"/>
        </w:rPr>
      </w:pPr>
      <w:r w:rsidRPr="001E308D">
        <w:rPr>
          <w:rFonts w:ascii="Century Gothic" w:hAnsi="Century Gothic"/>
          <w:sz w:val="24"/>
          <w:szCs w:val="24"/>
        </w:rPr>
        <w:t>Collect and submit performance data via a secure web portal</w:t>
      </w:r>
    </w:p>
    <w:p w:rsidR="007268F5" w:rsidRPr="001E308D" w:rsidRDefault="007268F5" w:rsidP="007268F5">
      <w:pPr>
        <w:pStyle w:val="NoSpacing"/>
        <w:numPr>
          <w:ilvl w:val="1"/>
          <w:numId w:val="5"/>
        </w:numPr>
        <w:jc w:val="left"/>
        <w:rPr>
          <w:rFonts w:ascii="Century Gothic" w:hAnsi="Century Gothic"/>
          <w:sz w:val="24"/>
          <w:szCs w:val="24"/>
        </w:rPr>
      </w:pPr>
      <w:r w:rsidRPr="001E308D">
        <w:rPr>
          <w:rFonts w:ascii="Century Gothic" w:hAnsi="Century Gothic"/>
          <w:sz w:val="24"/>
          <w:szCs w:val="24"/>
        </w:rPr>
        <w:t>Participate in 4</w:t>
      </w:r>
      <w:r w:rsidR="00536A09">
        <w:rPr>
          <w:rFonts w:ascii="Century Gothic" w:hAnsi="Century Gothic"/>
          <w:sz w:val="24"/>
          <w:szCs w:val="24"/>
        </w:rPr>
        <w:t>-</w:t>
      </w:r>
      <w:r w:rsidRPr="001E308D">
        <w:rPr>
          <w:rFonts w:ascii="Century Gothic" w:hAnsi="Century Gothic"/>
          <w:sz w:val="24"/>
          <w:szCs w:val="24"/>
        </w:rPr>
        <w:t xml:space="preserve">month improvement cycles and </w:t>
      </w:r>
      <w:r w:rsidR="003972B8">
        <w:rPr>
          <w:rFonts w:ascii="Century Gothic" w:hAnsi="Century Gothic"/>
          <w:sz w:val="24"/>
          <w:szCs w:val="24"/>
        </w:rPr>
        <w:t xml:space="preserve">annual </w:t>
      </w:r>
      <w:r w:rsidRPr="001E308D">
        <w:rPr>
          <w:rFonts w:ascii="Century Gothic" w:hAnsi="Century Gothic"/>
          <w:sz w:val="24"/>
          <w:szCs w:val="24"/>
        </w:rPr>
        <w:t>learning communities</w:t>
      </w:r>
    </w:p>
    <w:p w:rsidR="007268F5" w:rsidRPr="001E308D" w:rsidRDefault="007268F5" w:rsidP="007268F5">
      <w:pPr>
        <w:pStyle w:val="NoSpacing"/>
        <w:numPr>
          <w:ilvl w:val="1"/>
          <w:numId w:val="5"/>
        </w:numPr>
        <w:jc w:val="left"/>
        <w:rPr>
          <w:rFonts w:ascii="Century Gothic" w:hAnsi="Century Gothic"/>
          <w:sz w:val="24"/>
          <w:szCs w:val="24"/>
        </w:rPr>
      </w:pPr>
      <w:r w:rsidRPr="001E308D">
        <w:rPr>
          <w:rFonts w:ascii="Century Gothic" w:hAnsi="Century Gothic"/>
          <w:sz w:val="24"/>
          <w:szCs w:val="24"/>
        </w:rPr>
        <w:t>Track your progress and measure your readiness for MACRA</w:t>
      </w:r>
    </w:p>
    <w:p w:rsidR="007268F5" w:rsidRPr="001E308D" w:rsidRDefault="007268F5" w:rsidP="007268F5">
      <w:pPr>
        <w:pStyle w:val="NoSpacing"/>
        <w:numPr>
          <w:ilvl w:val="1"/>
          <w:numId w:val="5"/>
        </w:numPr>
        <w:jc w:val="left"/>
        <w:rPr>
          <w:rFonts w:ascii="Century Gothic" w:hAnsi="Century Gothic"/>
          <w:sz w:val="24"/>
          <w:szCs w:val="24"/>
        </w:rPr>
      </w:pPr>
      <w:r w:rsidRPr="001E308D">
        <w:rPr>
          <w:rFonts w:ascii="Century Gothic" w:hAnsi="Century Gothic"/>
          <w:sz w:val="24"/>
          <w:szCs w:val="24"/>
        </w:rPr>
        <w:t>Collaborate and share your successes with peer PTN providers via online and in-person educational opportunities</w:t>
      </w:r>
    </w:p>
    <w:p w:rsidR="007268F5" w:rsidRPr="001E308D" w:rsidRDefault="007268F5" w:rsidP="007268F5">
      <w:pPr>
        <w:pStyle w:val="Heading1"/>
        <w:rPr>
          <w:rFonts w:ascii="Century Gothic" w:hAnsi="Century Gothic"/>
        </w:rPr>
      </w:pPr>
      <w:r w:rsidRPr="001E308D">
        <w:rPr>
          <w:rFonts w:ascii="Century Gothic" w:hAnsi="Century Gothic"/>
        </w:rPr>
        <w:t xml:space="preserve">What is a </w:t>
      </w:r>
      <w:r w:rsidR="001E308D">
        <w:rPr>
          <w:rFonts w:ascii="Century Gothic" w:hAnsi="Century Gothic"/>
        </w:rPr>
        <w:t>Support and Alignment Network (</w:t>
      </w:r>
      <w:r w:rsidRPr="001E308D">
        <w:rPr>
          <w:rFonts w:ascii="Century Gothic" w:hAnsi="Century Gothic"/>
        </w:rPr>
        <w:t>SAN</w:t>
      </w:r>
      <w:r w:rsidR="001E308D">
        <w:rPr>
          <w:rFonts w:ascii="Century Gothic" w:hAnsi="Century Gothic"/>
        </w:rPr>
        <w:t>)</w:t>
      </w:r>
      <w:r w:rsidRPr="001E308D">
        <w:rPr>
          <w:rFonts w:ascii="Century Gothic" w:hAnsi="Century Gothic"/>
        </w:rPr>
        <w:t xml:space="preserve">? </w:t>
      </w:r>
    </w:p>
    <w:p w:rsidR="007268F5" w:rsidRPr="001E308D" w:rsidRDefault="007268F5" w:rsidP="007268F5">
      <w:pPr>
        <w:rPr>
          <w:rFonts w:ascii="Century Gothic" w:hAnsi="Century Gothic"/>
          <w:szCs w:val="24"/>
        </w:rPr>
      </w:pPr>
      <w:r w:rsidRPr="001E308D">
        <w:rPr>
          <w:rFonts w:ascii="Century Gothic" w:hAnsi="Century Gothic"/>
          <w:szCs w:val="24"/>
        </w:rPr>
        <w:t xml:space="preserve">A </w:t>
      </w:r>
      <w:r w:rsidR="00E20C36">
        <w:rPr>
          <w:rFonts w:ascii="Century Gothic" w:hAnsi="Century Gothic"/>
          <w:szCs w:val="24"/>
        </w:rPr>
        <w:t>SAN</w:t>
      </w:r>
      <w:r w:rsidRPr="001E308D">
        <w:rPr>
          <w:rFonts w:ascii="Century Gothic" w:hAnsi="Century Gothic"/>
          <w:szCs w:val="24"/>
        </w:rPr>
        <w:t xml:space="preserve"> is designed by professional associations and others that support PTNs, clinicians and their practices by aligning membership, communication channels and continuing the medical education credits along with other work. </w:t>
      </w:r>
    </w:p>
    <w:p w:rsidR="007268F5" w:rsidRPr="001E308D" w:rsidRDefault="007268F5" w:rsidP="007268F5">
      <w:pPr>
        <w:pStyle w:val="Heading1"/>
        <w:rPr>
          <w:rFonts w:ascii="Century Gothic" w:hAnsi="Century Gothic"/>
        </w:rPr>
      </w:pPr>
      <w:r w:rsidRPr="001E308D">
        <w:rPr>
          <w:rFonts w:ascii="Century Gothic" w:hAnsi="Century Gothic"/>
        </w:rPr>
        <w:t xml:space="preserve">What is a </w:t>
      </w:r>
      <w:r w:rsidR="001E308D">
        <w:rPr>
          <w:rFonts w:ascii="Century Gothic" w:hAnsi="Century Gothic"/>
        </w:rPr>
        <w:t>Practice Transformation Network (</w:t>
      </w:r>
      <w:r w:rsidRPr="001E308D">
        <w:rPr>
          <w:rFonts w:ascii="Century Gothic" w:hAnsi="Century Gothic"/>
        </w:rPr>
        <w:t>PTN</w:t>
      </w:r>
      <w:r w:rsidR="001E308D">
        <w:rPr>
          <w:rFonts w:ascii="Century Gothic" w:hAnsi="Century Gothic"/>
        </w:rPr>
        <w:t>)</w:t>
      </w:r>
      <w:r w:rsidRPr="001E308D">
        <w:rPr>
          <w:rFonts w:ascii="Century Gothic" w:hAnsi="Century Gothic"/>
        </w:rPr>
        <w:t xml:space="preserve">? </w:t>
      </w:r>
    </w:p>
    <w:p w:rsidR="007268F5" w:rsidRPr="001E308D" w:rsidRDefault="007268F5" w:rsidP="007268F5">
      <w:pPr>
        <w:rPr>
          <w:rFonts w:ascii="Century Gothic" w:hAnsi="Century Gothic"/>
          <w:szCs w:val="24"/>
        </w:rPr>
      </w:pPr>
      <w:r w:rsidRPr="001E308D">
        <w:rPr>
          <w:rFonts w:ascii="Century Gothic" w:hAnsi="Century Gothic"/>
          <w:szCs w:val="24"/>
        </w:rPr>
        <w:t xml:space="preserve">A </w:t>
      </w:r>
      <w:r w:rsidR="00E20C36">
        <w:rPr>
          <w:rFonts w:ascii="Century Gothic" w:hAnsi="Century Gothic"/>
          <w:szCs w:val="24"/>
        </w:rPr>
        <w:t>PTN</w:t>
      </w:r>
      <w:r w:rsidRPr="001E308D">
        <w:rPr>
          <w:rFonts w:ascii="Century Gothic" w:hAnsi="Century Gothic"/>
          <w:szCs w:val="24"/>
        </w:rPr>
        <w:t xml:space="preserve"> is a peer-based learning network intended to coach, mentor, and support clinicians in developing core competencies that are specific to practice transformation. </w:t>
      </w:r>
    </w:p>
    <w:p w:rsidR="007268F5" w:rsidRPr="001E308D" w:rsidRDefault="001E308D" w:rsidP="007268F5">
      <w:pPr>
        <w:pStyle w:val="Heading1"/>
        <w:rPr>
          <w:rFonts w:ascii="Century Gothic" w:hAnsi="Century Gothic"/>
        </w:rPr>
      </w:pPr>
      <w:r>
        <w:rPr>
          <w:rFonts w:ascii="Century Gothic" w:hAnsi="Century Gothic"/>
        </w:rPr>
        <w:t>How many PTN</w:t>
      </w:r>
      <w:r w:rsidR="007268F5" w:rsidRPr="001E308D">
        <w:rPr>
          <w:rFonts w:ascii="Century Gothic" w:hAnsi="Century Gothic"/>
        </w:rPr>
        <w:t xml:space="preserve">s can I participate in? </w:t>
      </w:r>
    </w:p>
    <w:p w:rsidR="007268F5" w:rsidRPr="001E308D" w:rsidRDefault="007268F5" w:rsidP="007268F5">
      <w:pPr>
        <w:rPr>
          <w:rFonts w:ascii="Century Gothic" w:hAnsi="Century Gothic"/>
          <w:szCs w:val="24"/>
        </w:rPr>
      </w:pPr>
      <w:r w:rsidRPr="001E308D">
        <w:rPr>
          <w:rFonts w:ascii="Century Gothic" w:hAnsi="Century Gothic"/>
          <w:szCs w:val="24"/>
        </w:rPr>
        <w:t xml:space="preserve">You can only participate in one PTN. Please contact </w:t>
      </w:r>
      <w:r w:rsidR="00536A09">
        <w:rPr>
          <w:rFonts w:ascii="Century Gothic" w:hAnsi="Century Gothic"/>
          <w:szCs w:val="24"/>
        </w:rPr>
        <w:t>Meg Nugent</w:t>
      </w:r>
      <w:r w:rsidRPr="001E308D">
        <w:rPr>
          <w:rFonts w:ascii="Century Gothic" w:hAnsi="Century Gothic"/>
          <w:szCs w:val="24"/>
        </w:rPr>
        <w:t xml:space="preserve"> at </w:t>
      </w:r>
      <w:hyperlink r:id="rId11" w:history="1">
        <w:r w:rsidR="00536A09">
          <w:rPr>
            <w:rStyle w:val="Hyperlink"/>
            <w:rFonts w:ascii="Century Gothic" w:hAnsi="Century Gothic"/>
          </w:rPr>
          <w:t>nugentm</w:t>
        </w:r>
        <w:r w:rsidR="00536A09" w:rsidRPr="001E308D">
          <w:rPr>
            <w:rStyle w:val="Hyperlink"/>
            <w:rFonts w:ascii="Century Gothic" w:hAnsi="Century Gothic"/>
          </w:rPr>
          <w:t>@ihconline.org</w:t>
        </w:r>
      </w:hyperlink>
      <w:r w:rsidRPr="001E308D">
        <w:rPr>
          <w:rFonts w:ascii="Century Gothic" w:hAnsi="Century Gothic"/>
        </w:rPr>
        <w:t xml:space="preserve"> </w:t>
      </w:r>
      <w:r w:rsidRPr="001E308D">
        <w:rPr>
          <w:rFonts w:ascii="Century Gothic" w:hAnsi="Century Gothic"/>
          <w:szCs w:val="24"/>
        </w:rPr>
        <w:t xml:space="preserve">if you have any questions or are unsure about which PTN to choose. </w:t>
      </w:r>
    </w:p>
    <w:p w:rsidR="007268F5" w:rsidRPr="001E308D" w:rsidRDefault="007268F5" w:rsidP="007268F5">
      <w:pPr>
        <w:pStyle w:val="Heading1"/>
        <w:rPr>
          <w:rFonts w:ascii="Century Gothic" w:hAnsi="Century Gothic"/>
        </w:rPr>
      </w:pPr>
      <w:r w:rsidRPr="001E308D">
        <w:rPr>
          <w:rFonts w:ascii="Century Gothic" w:hAnsi="Century Gothic"/>
        </w:rPr>
        <w:t xml:space="preserve">How can I enroll in the Compass PTN? </w:t>
      </w:r>
    </w:p>
    <w:p w:rsidR="007268F5" w:rsidRPr="001E308D" w:rsidRDefault="007268F5" w:rsidP="007268F5">
      <w:pPr>
        <w:rPr>
          <w:rFonts w:ascii="Century Gothic" w:hAnsi="Century Gothic"/>
          <w:iCs/>
          <w:szCs w:val="24"/>
        </w:rPr>
      </w:pPr>
      <w:r w:rsidRPr="001E308D">
        <w:rPr>
          <w:rFonts w:ascii="Century Gothic" w:hAnsi="Century Gothic"/>
          <w:iCs/>
          <w:szCs w:val="24"/>
        </w:rPr>
        <w:t xml:space="preserve">Enrollment is easy! </w:t>
      </w:r>
    </w:p>
    <w:p w:rsidR="007268F5" w:rsidRPr="001E308D" w:rsidRDefault="007268F5" w:rsidP="007268F5">
      <w:pPr>
        <w:rPr>
          <w:rFonts w:ascii="Century Gothic" w:hAnsi="Century Gothic"/>
          <w:iCs/>
          <w:szCs w:val="24"/>
        </w:rPr>
      </w:pPr>
      <w:r w:rsidRPr="001E308D">
        <w:rPr>
          <w:rFonts w:ascii="Century Gothic" w:hAnsi="Century Gothic"/>
          <w:iCs/>
          <w:szCs w:val="24"/>
        </w:rPr>
        <w:t>F</w:t>
      </w:r>
      <w:r w:rsidR="00EB11A3">
        <w:rPr>
          <w:rFonts w:ascii="Century Gothic" w:hAnsi="Century Gothic"/>
          <w:iCs/>
          <w:szCs w:val="24"/>
        </w:rPr>
        <w:t xml:space="preserve">or the online enrollment process, </w:t>
      </w:r>
      <w:r w:rsidRPr="001E308D">
        <w:rPr>
          <w:rFonts w:ascii="Century Gothic" w:hAnsi="Century Gothic"/>
          <w:iCs/>
          <w:szCs w:val="24"/>
        </w:rPr>
        <w:t xml:space="preserve">you will need to complete and submit three items: </w:t>
      </w:r>
    </w:p>
    <w:p w:rsidR="007268F5" w:rsidRPr="001E308D" w:rsidRDefault="00EB11A3" w:rsidP="007268F5">
      <w:pPr>
        <w:pStyle w:val="ListParagraph"/>
        <w:numPr>
          <w:ilvl w:val="0"/>
          <w:numId w:val="4"/>
        </w:numPr>
        <w:spacing w:line="259" w:lineRule="auto"/>
        <w:rPr>
          <w:rFonts w:ascii="Century Gothic" w:hAnsi="Century Gothic"/>
          <w:iCs/>
          <w:szCs w:val="24"/>
        </w:rPr>
      </w:pPr>
      <w:r>
        <w:rPr>
          <w:rFonts w:ascii="Century Gothic" w:hAnsi="Century Gothic"/>
          <w:iCs/>
          <w:szCs w:val="24"/>
        </w:rPr>
        <w:t>Participating Clinician N</w:t>
      </w:r>
      <w:r w:rsidR="007268F5" w:rsidRPr="001E308D">
        <w:rPr>
          <w:rFonts w:ascii="Century Gothic" w:hAnsi="Century Gothic"/>
          <w:iCs/>
          <w:szCs w:val="24"/>
        </w:rPr>
        <w:t xml:space="preserve">ational Provider Identifier (NPI excel template) </w:t>
      </w:r>
    </w:p>
    <w:p w:rsidR="007268F5" w:rsidRPr="001E308D" w:rsidRDefault="007268F5" w:rsidP="007268F5">
      <w:pPr>
        <w:pStyle w:val="ListParagraph"/>
        <w:numPr>
          <w:ilvl w:val="0"/>
          <w:numId w:val="4"/>
        </w:numPr>
        <w:spacing w:line="259" w:lineRule="auto"/>
        <w:rPr>
          <w:rFonts w:ascii="Century Gothic" w:hAnsi="Century Gothic"/>
          <w:iCs/>
          <w:szCs w:val="24"/>
        </w:rPr>
      </w:pPr>
      <w:r w:rsidRPr="001E308D">
        <w:rPr>
          <w:rFonts w:ascii="Century Gothic" w:hAnsi="Century Gothic"/>
          <w:iCs/>
          <w:szCs w:val="24"/>
        </w:rPr>
        <w:t xml:space="preserve">Participation Agreement Charter </w:t>
      </w:r>
    </w:p>
    <w:p w:rsidR="007268F5" w:rsidRPr="001E308D" w:rsidRDefault="007268F5" w:rsidP="007268F5">
      <w:pPr>
        <w:pStyle w:val="ListParagraph"/>
        <w:numPr>
          <w:ilvl w:val="0"/>
          <w:numId w:val="4"/>
        </w:numPr>
        <w:spacing w:line="259" w:lineRule="auto"/>
        <w:rPr>
          <w:rFonts w:ascii="Century Gothic" w:hAnsi="Century Gothic"/>
          <w:iCs/>
          <w:szCs w:val="24"/>
        </w:rPr>
      </w:pPr>
      <w:r w:rsidRPr="001E308D">
        <w:rPr>
          <w:rFonts w:ascii="Century Gothic" w:hAnsi="Century Gothic"/>
          <w:iCs/>
          <w:szCs w:val="24"/>
        </w:rPr>
        <w:t>Business Associate Agreement (BAA)</w:t>
      </w:r>
    </w:p>
    <w:p w:rsidR="007268F5" w:rsidRPr="001E308D" w:rsidRDefault="007268F5" w:rsidP="007268F5">
      <w:pPr>
        <w:rPr>
          <w:rFonts w:ascii="Century Gothic" w:hAnsi="Century Gothic"/>
          <w:iCs/>
          <w:szCs w:val="24"/>
        </w:rPr>
      </w:pPr>
      <w:r w:rsidRPr="001E308D">
        <w:rPr>
          <w:rFonts w:ascii="Century Gothic" w:hAnsi="Century Gothic"/>
          <w:iCs/>
          <w:szCs w:val="24"/>
        </w:rPr>
        <w:t xml:space="preserve">Please visit our website to complete the enrollment process at </w:t>
      </w:r>
      <w:r w:rsidR="00536A09" w:rsidRPr="00536A09">
        <w:rPr>
          <w:rFonts w:ascii="Century Gothic" w:hAnsi="Century Gothic"/>
          <w:iCs/>
          <w:szCs w:val="24"/>
        </w:rPr>
        <w:t>h</w:t>
      </w:r>
      <w:r w:rsidR="00536A09">
        <w:rPr>
          <w:rFonts w:ascii="Century Gothic" w:hAnsi="Century Gothic"/>
          <w:iCs/>
          <w:szCs w:val="24"/>
        </w:rPr>
        <w:t>ttps://compassptn.qualitrac.com</w:t>
      </w:r>
      <w:r w:rsidRPr="001E308D">
        <w:rPr>
          <w:rFonts w:ascii="Century Gothic" w:hAnsi="Century Gothic"/>
          <w:iCs/>
          <w:szCs w:val="24"/>
        </w:rPr>
        <w:t>.</w:t>
      </w:r>
    </w:p>
    <w:p w:rsidR="007268F5" w:rsidRPr="001E308D" w:rsidRDefault="007268F5" w:rsidP="007268F5">
      <w:pPr>
        <w:pStyle w:val="Heading1"/>
        <w:rPr>
          <w:rFonts w:ascii="Century Gothic" w:hAnsi="Century Gothic"/>
        </w:rPr>
      </w:pPr>
      <w:r w:rsidRPr="001E308D">
        <w:rPr>
          <w:rFonts w:ascii="Century Gothic" w:hAnsi="Century Gothic"/>
        </w:rPr>
        <w:t xml:space="preserve">Instead of transforming, can I see more patients and make up for reimbursement penalties with volume? </w:t>
      </w:r>
    </w:p>
    <w:p w:rsidR="007268F5" w:rsidRDefault="007268F5" w:rsidP="007268F5">
      <w:pPr>
        <w:rPr>
          <w:rFonts w:ascii="Century Gothic" w:hAnsi="Century Gothic"/>
          <w:szCs w:val="24"/>
        </w:rPr>
      </w:pPr>
      <w:r w:rsidRPr="001E308D">
        <w:rPr>
          <w:rFonts w:ascii="Century Gothic" w:hAnsi="Century Gothic"/>
          <w:szCs w:val="24"/>
        </w:rPr>
        <w:t xml:space="preserve">No. MACRA reimbursement models, both MIPS and APMs, eliminate the ability to impact your score with volume alone. </w:t>
      </w:r>
    </w:p>
    <w:p w:rsidR="004456DD" w:rsidRPr="001174E1" w:rsidRDefault="004456DD" w:rsidP="007268F5">
      <w:pPr>
        <w:rPr>
          <w:rFonts w:ascii="Century Gothic" w:hAnsi="Century Gothic"/>
          <w:b/>
          <w:szCs w:val="24"/>
        </w:rPr>
      </w:pPr>
      <w:r>
        <w:rPr>
          <w:rFonts w:ascii="Century Gothic" w:hAnsi="Century Gothic"/>
          <w:b/>
          <w:szCs w:val="24"/>
        </w:rPr>
        <w:t>MIPS</w:t>
      </w:r>
    </w:p>
    <w:p w:rsidR="007268F5" w:rsidRPr="001E308D" w:rsidRDefault="007268F5" w:rsidP="007268F5">
      <w:pPr>
        <w:rPr>
          <w:rFonts w:ascii="Century Gothic" w:hAnsi="Century Gothic"/>
          <w:szCs w:val="24"/>
        </w:rPr>
      </w:pPr>
      <w:r w:rsidRPr="001E308D">
        <w:rPr>
          <w:rFonts w:ascii="Century Gothic" w:hAnsi="Century Gothic"/>
          <w:szCs w:val="24"/>
        </w:rPr>
        <w:t>For example, MIPS will use four measures of different weights to contribute to a total score and over time, the weight of impact will change to focus on quality and value. January 2017 will be the first measurement period to impact 2019 reimbursement:</w:t>
      </w:r>
    </w:p>
    <w:p w:rsidR="007268F5" w:rsidRPr="001E308D" w:rsidRDefault="007268F5" w:rsidP="007268F5">
      <w:pPr>
        <w:pStyle w:val="ListParagraph"/>
        <w:numPr>
          <w:ilvl w:val="0"/>
          <w:numId w:val="2"/>
        </w:numPr>
        <w:spacing w:after="0" w:line="240" w:lineRule="auto"/>
        <w:contextualSpacing w:val="0"/>
        <w:rPr>
          <w:rFonts w:ascii="Century Gothic" w:hAnsi="Century Gothic"/>
          <w:szCs w:val="24"/>
        </w:rPr>
      </w:pPr>
      <w:r w:rsidRPr="001E308D">
        <w:rPr>
          <w:rFonts w:ascii="Century Gothic" w:hAnsi="Century Gothic"/>
          <w:szCs w:val="24"/>
        </w:rPr>
        <w:t>Meaningful Use = 25%</w:t>
      </w:r>
    </w:p>
    <w:p w:rsidR="007268F5" w:rsidRPr="001E308D" w:rsidRDefault="007268F5" w:rsidP="007268F5">
      <w:pPr>
        <w:pStyle w:val="ListParagraph"/>
        <w:numPr>
          <w:ilvl w:val="0"/>
          <w:numId w:val="2"/>
        </w:numPr>
        <w:spacing w:after="0" w:line="240" w:lineRule="auto"/>
        <w:contextualSpacing w:val="0"/>
        <w:rPr>
          <w:rFonts w:ascii="Century Gothic" w:hAnsi="Century Gothic"/>
          <w:szCs w:val="24"/>
        </w:rPr>
      </w:pPr>
      <w:r w:rsidRPr="001E308D">
        <w:rPr>
          <w:rFonts w:ascii="Century Gothic" w:hAnsi="Century Gothic"/>
          <w:szCs w:val="24"/>
        </w:rPr>
        <w:t xml:space="preserve">Quality Measures = </w:t>
      </w:r>
      <w:r w:rsidR="00536A09">
        <w:rPr>
          <w:rFonts w:ascii="Century Gothic" w:hAnsi="Century Gothic"/>
          <w:szCs w:val="24"/>
        </w:rPr>
        <w:t>6</w:t>
      </w:r>
      <w:r w:rsidR="00536A09" w:rsidRPr="001E308D">
        <w:rPr>
          <w:rFonts w:ascii="Century Gothic" w:hAnsi="Century Gothic"/>
          <w:szCs w:val="24"/>
        </w:rPr>
        <w:t>0</w:t>
      </w:r>
      <w:r w:rsidRPr="001E308D">
        <w:rPr>
          <w:rFonts w:ascii="Century Gothic" w:hAnsi="Century Gothic"/>
          <w:szCs w:val="24"/>
        </w:rPr>
        <w:t>%</w:t>
      </w:r>
    </w:p>
    <w:p w:rsidR="007268F5" w:rsidRPr="001E308D" w:rsidRDefault="007268F5" w:rsidP="007268F5">
      <w:pPr>
        <w:pStyle w:val="ListParagraph"/>
        <w:numPr>
          <w:ilvl w:val="0"/>
          <w:numId w:val="2"/>
        </w:numPr>
        <w:spacing w:after="0" w:line="240" w:lineRule="auto"/>
        <w:contextualSpacing w:val="0"/>
        <w:rPr>
          <w:rFonts w:ascii="Century Gothic" w:hAnsi="Century Gothic"/>
          <w:szCs w:val="24"/>
        </w:rPr>
      </w:pPr>
      <w:r w:rsidRPr="001E308D">
        <w:rPr>
          <w:rFonts w:ascii="Century Gothic" w:hAnsi="Century Gothic"/>
          <w:szCs w:val="24"/>
        </w:rPr>
        <w:t>Clinical Improvement Activities = 15%</w:t>
      </w:r>
    </w:p>
    <w:p w:rsidR="007268F5" w:rsidRPr="001E308D" w:rsidRDefault="007268F5" w:rsidP="007268F5">
      <w:pPr>
        <w:pStyle w:val="ListParagraph"/>
        <w:numPr>
          <w:ilvl w:val="0"/>
          <w:numId w:val="2"/>
        </w:numPr>
        <w:spacing w:after="0" w:line="240" w:lineRule="auto"/>
        <w:contextualSpacing w:val="0"/>
        <w:rPr>
          <w:rFonts w:ascii="Century Gothic" w:hAnsi="Century Gothic"/>
          <w:szCs w:val="24"/>
        </w:rPr>
      </w:pPr>
      <w:r w:rsidRPr="001E308D">
        <w:rPr>
          <w:rFonts w:ascii="Century Gothic" w:hAnsi="Century Gothic"/>
          <w:szCs w:val="24"/>
        </w:rPr>
        <w:t xml:space="preserve">Resource Use/Cost Measures = </w:t>
      </w:r>
      <w:r w:rsidR="00536A09">
        <w:rPr>
          <w:rFonts w:ascii="Century Gothic" w:hAnsi="Century Gothic"/>
          <w:szCs w:val="24"/>
        </w:rPr>
        <w:t>0</w:t>
      </w:r>
      <w:r w:rsidRPr="001E308D">
        <w:rPr>
          <w:rFonts w:ascii="Century Gothic" w:hAnsi="Century Gothic"/>
          <w:szCs w:val="24"/>
        </w:rPr>
        <w:t>%</w:t>
      </w:r>
      <w:r w:rsidR="00536A09">
        <w:rPr>
          <w:rFonts w:ascii="Century Gothic" w:hAnsi="Century Gothic"/>
          <w:szCs w:val="24"/>
        </w:rPr>
        <w:t xml:space="preserve"> (10% in 2018)</w:t>
      </w:r>
    </w:p>
    <w:p w:rsidR="007268F5" w:rsidRPr="001E308D" w:rsidRDefault="007268F5" w:rsidP="007268F5">
      <w:pPr>
        <w:spacing w:after="0" w:line="240" w:lineRule="auto"/>
        <w:rPr>
          <w:rFonts w:ascii="Century Gothic" w:hAnsi="Century Gothic"/>
          <w:szCs w:val="24"/>
        </w:rPr>
      </w:pPr>
    </w:p>
    <w:tbl>
      <w:tblPr>
        <w:tblStyle w:val="GridTable4-Accent1"/>
        <w:tblW w:w="0" w:type="auto"/>
        <w:tblLook w:val="04A0" w:firstRow="1" w:lastRow="0" w:firstColumn="1" w:lastColumn="0" w:noHBand="0" w:noVBand="1"/>
      </w:tblPr>
      <w:tblGrid>
        <w:gridCol w:w="2785"/>
        <w:gridCol w:w="1710"/>
        <w:gridCol w:w="1980"/>
        <w:gridCol w:w="1800"/>
        <w:gridCol w:w="1795"/>
      </w:tblGrid>
      <w:tr w:rsidR="007268F5" w:rsidRPr="001E308D" w:rsidTr="00117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268F5" w:rsidRPr="001E308D" w:rsidRDefault="007268F5" w:rsidP="00E745F7">
            <w:pPr>
              <w:rPr>
                <w:rFonts w:ascii="Century Gothic" w:hAnsi="Century Gothic"/>
                <w:szCs w:val="24"/>
              </w:rPr>
            </w:pPr>
          </w:p>
        </w:tc>
        <w:tc>
          <w:tcPr>
            <w:tcW w:w="1710" w:type="dxa"/>
          </w:tcPr>
          <w:p w:rsidR="007268F5" w:rsidRPr="001E308D" w:rsidRDefault="007268F5" w:rsidP="00E745F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Cs w:val="24"/>
              </w:rPr>
            </w:pPr>
            <w:r w:rsidRPr="001E308D">
              <w:rPr>
                <w:rFonts w:ascii="Century Gothic" w:hAnsi="Century Gothic"/>
                <w:szCs w:val="24"/>
              </w:rPr>
              <w:t>2019</w:t>
            </w:r>
          </w:p>
        </w:tc>
        <w:tc>
          <w:tcPr>
            <w:tcW w:w="1980" w:type="dxa"/>
          </w:tcPr>
          <w:p w:rsidR="007268F5" w:rsidRPr="001E308D" w:rsidRDefault="007268F5" w:rsidP="00E745F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Cs w:val="24"/>
              </w:rPr>
            </w:pPr>
            <w:r w:rsidRPr="001E308D">
              <w:rPr>
                <w:rFonts w:ascii="Century Gothic" w:hAnsi="Century Gothic"/>
                <w:szCs w:val="24"/>
              </w:rPr>
              <w:t>2020</w:t>
            </w:r>
          </w:p>
        </w:tc>
        <w:tc>
          <w:tcPr>
            <w:tcW w:w="1800" w:type="dxa"/>
          </w:tcPr>
          <w:p w:rsidR="007268F5" w:rsidRPr="001E308D" w:rsidRDefault="007268F5" w:rsidP="00E745F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Cs w:val="24"/>
              </w:rPr>
            </w:pPr>
            <w:r w:rsidRPr="001E308D">
              <w:rPr>
                <w:rFonts w:ascii="Century Gothic" w:hAnsi="Century Gothic"/>
                <w:szCs w:val="24"/>
              </w:rPr>
              <w:t>2021</w:t>
            </w:r>
          </w:p>
        </w:tc>
        <w:tc>
          <w:tcPr>
            <w:tcW w:w="1795" w:type="dxa"/>
          </w:tcPr>
          <w:p w:rsidR="007268F5" w:rsidRPr="001E308D" w:rsidRDefault="007268F5" w:rsidP="00E745F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Cs w:val="24"/>
              </w:rPr>
            </w:pPr>
            <w:r w:rsidRPr="001E308D">
              <w:rPr>
                <w:rFonts w:ascii="Century Gothic" w:hAnsi="Century Gothic"/>
                <w:szCs w:val="24"/>
              </w:rPr>
              <w:t>2022</w:t>
            </w:r>
            <w:r w:rsidR="00A05A19">
              <w:rPr>
                <w:rFonts w:ascii="Century Gothic" w:hAnsi="Century Gothic"/>
                <w:szCs w:val="24"/>
              </w:rPr>
              <w:t xml:space="preserve"> and onward</w:t>
            </w:r>
          </w:p>
        </w:tc>
      </w:tr>
      <w:tr w:rsidR="007268F5" w:rsidRPr="001E308D" w:rsidTr="00117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7268F5" w:rsidRPr="001E308D" w:rsidRDefault="00A05A19" w:rsidP="00E745F7">
            <w:pPr>
              <w:rPr>
                <w:rFonts w:ascii="Century Gothic" w:hAnsi="Century Gothic"/>
                <w:color w:val="000000" w:themeColor="text1"/>
                <w:szCs w:val="24"/>
              </w:rPr>
            </w:pPr>
            <w:r>
              <w:rPr>
                <w:rFonts w:ascii="Century Gothic" w:hAnsi="Century Gothic"/>
                <w:color w:val="000000" w:themeColor="text1"/>
                <w:szCs w:val="24"/>
              </w:rPr>
              <w:t xml:space="preserve">MIPS </w:t>
            </w:r>
            <w:r w:rsidR="007268F5" w:rsidRPr="001E308D">
              <w:rPr>
                <w:rFonts w:ascii="Century Gothic" w:hAnsi="Century Gothic"/>
                <w:color w:val="000000" w:themeColor="text1"/>
                <w:szCs w:val="24"/>
              </w:rPr>
              <w:t>Reward/Risk</w:t>
            </w:r>
          </w:p>
        </w:tc>
        <w:tc>
          <w:tcPr>
            <w:tcW w:w="1710" w:type="dxa"/>
          </w:tcPr>
          <w:p w:rsidR="007268F5" w:rsidRPr="001E308D" w:rsidRDefault="007268F5" w:rsidP="00E745F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rPr>
            </w:pPr>
            <w:r w:rsidRPr="001E308D">
              <w:rPr>
                <w:rFonts w:ascii="Century Gothic" w:hAnsi="Century Gothic"/>
                <w:b/>
                <w:color w:val="000000" w:themeColor="text1"/>
              </w:rPr>
              <w:t>+4% to -4%</w:t>
            </w:r>
          </w:p>
        </w:tc>
        <w:tc>
          <w:tcPr>
            <w:tcW w:w="1980" w:type="dxa"/>
          </w:tcPr>
          <w:p w:rsidR="007268F5" w:rsidRPr="001E308D" w:rsidRDefault="007268F5" w:rsidP="00E745F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rPr>
            </w:pPr>
            <w:r w:rsidRPr="001E308D">
              <w:rPr>
                <w:rFonts w:ascii="Century Gothic" w:hAnsi="Century Gothic"/>
                <w:b/>
                <w:color w:val="000000" w:themeColor="text1"/>
              </w:rPr>
              <w:t>+5% to -5%</w:t>
            </w:r>
          </w:p>
        </w:tc>
        <w:tc>
          <w:tcPr>
            <w:tcW w:w="1800" w:type="dxa"/>
          </w:tcPr>
          <w:p w:rsidR="007268F5" w:rsidRPr="001E308D" w:rsidRDefault="007268F5" w:rsidP="00E745F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rPr>
            </w:pPr>
            <w:r w:rsidRPr="001E308D">
              <w:rPr>
                <w:rFonts w:ascii="Century Gothic" w:hAnsi="Century Gothic"/>
                <w:b/>
                <w:color w:val="000000" w:themeColor="text1"/>
              </w:rPr>
              <w:t>+7% to -7%</w:t>
            </w:r>
          </w:p>
        </w:tc>
        <w:tc>
          <w:tcPr>
            <w:tcW w:w="1795" w:type="dxa"/>
          </w:tcPr>
          <w:p w:rsidR="007268F5" w:rsidRPr="001E308D" w:rsidRDefault="007268F5" w:rsidP="00E745F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rPr>
            </w:pPr>
            <w:r w:rsidRPr="001E308D">
              <w:rPr>
                <w:rFonts w:ascii="Century Gothic" w:hAnsi="Century Gothic"/>
                <w:b/>
                <w:color w:val="000000" w:themeColor="text1"/>
              </w:rPr>
              <w:t>+9% to -9%</w:t>
            </w:r>
          </w:p>
        </w:tc>
      </w:tr>
    </w:tbl>
    <w:p w:rsidR="00A05A19" w:rsidRDefault="00A05A19" w:rsidP="007268F5">
      <w:pPr>
        <w:rPr>
          <w:rFonts w:ascii="Century Gothic" w:hAnsi="Century Gothic"/>
          <w:szCs w:val="24"/>
        </w:rPr>
      </w:pPr>
      <w:r>
        <w:rPr>
          <w:rFonts w:ascii="Century Gothic" w:hAnsi="Century Gothic"/>
          <w:szCs w:val="24"/>
        </w:rPr>
        <w:t>*Exceptional Performers receive additional positive adjustment factor from a pool of $500M each year 2019 to 2024.</w:t>
      </w:r>
    </w:p>
    <w:p w:rsidR="004456DD" w:rsidRPr="001174E1" w:rsidRDefault="004456DD" w:rsidP="007268F5">
      <w:pPr>
        <w:rPr>
          <w:rFonts w:ascii="Century Gothic" w:hAnsi="Century Gothic"/>
          <w:b/>
          <w:szCs w:val="24"/>
        </w:rPr>
      </w:pPr>
      <w:r w:rsidRPr="001174E1">
        <w:rPr>
          <w:rFonts w:ascii="Century Gothic" w:hAnsi="Century Gothic"/>
          <w:b/>
          <w:szCs w:val="24"/>
        </w:rPr>
        <w:t>APMs</w:t>
      </w:r>
    </w:p>
    <w:p w:rsidR="007268F5" w:rsidRDefault="007268F5" w:rsidP="007268F5">
      <w:pPr>
        <w:rPr>
          <w:rFonts w:ascii="Century Gothic" w:hAnsi="Century Gothic"/>
          <w:szCs w:val="24"/>
        </w:rPr>
      </w:pPr>
      <w:r w:rsidRPr="001E308D">
        <w:rPr>
          <w:rFonts w:ascii="Century Gothic" w:hAnsi="Century Gothic"/>
          <w:szCs w:val="24"/>
        </w:rPr>
        <w:t>APM requirements will vary depending on model but will include additional criteria and meeting established thresholds.</w:t>
      </w:r>
    </w:p>
    <w:p w:rsidR="001950EB" w:rsidRPr="004456DD" w:rsidRDefault="00B82733" w:rsidP="004456DD">
      <w:pPr>
        <w:numPr>
          <w:ilvl w:val="0"/>
          <w:numId w:val="12"/>
        </w:numPr>
        <w:rPr>
          <w:rFonts w:ascii="Century Gothic" w:hAnsi="Century Gothic"/>
          <w:szCs w:val="24"/>
        </w:rPr>
      </w:pPr>
      <w:r w:rsidRPr="004456DD">
        <w:rPr>
          <w:rFonts w:ascii="Century Gothic" w:hAnsi="Century Gothic"/>
          <w:szCs w:val="24"/>
        </w:rPr>
        <w:t xml:space="preserve">ECs participating in advanced APMs may be determined as qualifying APM participants (QPs) if they </w:t>
      </w:r>
      <w:r w:rsidRPr="004456DD">
        <w:rPr>
          <w:rFonts w:ascii="Century Gothic" w:hAnsi="Century Gothic"/>
          <w:szCs w:val="24"/>
          <w:u w:val="single"/>
        </w:rPr>
        <w:t>meet proposed thresholds</w:t>
      </w:r>
    </w:p>
    <w:p w:rsidR="001950EB" w:rsidRPr="004456DD" w:rsidRDefault="00B82733" w:rsidP="004456DD">
      <w:pPr>
        <w:numPr>
          <w:ilvl w:val="0"/>
          <w:numId w:val="12"/>
        </w:numPr>
        <w:rPr>
          <w:rFonts w:ascii="Century Gothic" w:hAnsi="Century Gothic"/>
          <w:szCs w:val="24"/>
        </w:rPr>
      </w:pPr>
      <w:r w:rsidRPr="004456DD">
        <w:rPr>
          <w:rFonts w:ascii="Century Gothic" w:hAnsi="Century Gothic"/>
          <w:szCs w:val="24"/>
        </w:rPr>
        <w:t>QPs:</w:t>
      </w:r>
    </w:p>
    <w:p w:rsidR="001950EB" w:rsidRPr="004456DD" w:rsidRDefault="00B82733" w:rsidP="004456DD">
      <w:pPr>
        <w:numPr>
          <w:ilvl w:val="1"/>
          <w:numId w:val="12"/>
        </w:numPr>
        <w:rPr>
          <w:rFonts w:ascii="Century Gothic" w:hAnsi="Century Gothic"/>
          <w:szCs w:val="24"/>
        </w:rPr>
      </w:pPr>
      <w:r w:rsidRPr="004456DD">
        <w:rPr>
          <w:rFonts w:ascii="Century Gothic" w:hAnsi="Century Gothic"/>
          <w:szCs w:val="24"/>
        </w:rPr>
        <w:t>Are not subject to MIPS</w:t>
      </w:r>
    </w:p>
    <w:p w:rsidR="001950EB" w:rsidRPr="004456DD" w:rsidRDefault="00B82733" w:rsidP="004456DD">
      <w:pPr>
        <w:numPr>
          <w:ilvl w:val="1"/>
          <w:numId w:val="12"/>
        </w:numPr>
        <w:rPr>
          <w:rFonts w:ascii="Century Gothic" w:hAnsi="Century Gothic"/>
          <w:szCs w:val="24"/>
        </w:rPr>
      </w:pPr>
      <w:r w:rsidRPr="004456DD">
        <w:rPr>
          <w:rFonts w:ascii="Century Gothic" w:hAnsi="Century Gothic"/>
          <w:szCs w:val="24"/>
        </w:rPr>
        <w:t>Receive 5 percent lump sum bonus payments for years 2019-2024</w:t>
      </w:r>
    </w:p>
    <w:p w:rsidR="001950EB" w:rsidRPr="004456DD" w:rsidRDefault="00B82733" w:rsidP="004456DD">
      <w:pPr>
        <w:numPr>
          <w:ilvl w:val="1"/>
          <w:numId w:val="12"/>
        </w:numPr>
        <w:rPr>
          <w:rFonts w:ascii="Century Gothic" w:hAnsi="Century Gothic"/>
          <w:szCs w:val="24"/>
        </w:rPr>
      </w:pPr>
      <w:r w:rsidRPr="004456DD">
        <w:rPr>
          <w:rFonts w:ascii="Century Gothic" w:hAnsi="Century Gothic"/>
          <w:szCs w:val="24"/>
        </w:rPr>
        <w:t>Receive a higher fee schedule update for 2026 and beyond</w:t>
      </w:r>
    </w:p>
    <w:p w:rsidR="004456DD" w:rsidRPr="004456DD" w:rsidRDefault="004456DD" w:rsidP="004456DD">
      <w:pPr>
        <w:rPr>
          <w:rFonts w:ascii="Century Gothic" w:hAnsi="Century Gothic"/>
          <w:szCs w:val="24"/>
        </w:rPr>
      </w:pPr>
      <w:r w:rsidRPr="004456DD">
        <w:rPr>
          <w:rFonts w:ascii="Century Gothic" w:hAnsi="Century Gothic"/>
          <w:b/>
          <w:bCs/>
          <w:szCs w:val="24"/>
        </w:rPr>
        <w:t>Eligible Advanced APMs Include:</w:t>
      </w:r>
    </w:p>
    <w:p w:rsidR="001950EB" w:rsidRPr="004456DD" w:rsidRDefault="00B82733" w:rsidP="004456DD">
      <w:pPr>
        <w:numPr>
          <w:ilvl w:val="1"/>
          <w:numId w:val="13"/>
        </w:numPr>
        <w:rPr>
          <w:rFonts w:ascii="Century Gothic" w:hAnsi="Century Gothic"/>
          <w:szCs w:val="24"/>
        </w:rPr>
      </w:pPr>
      <w:r w:rsidRPr="004456DD">
        <w:rPr>
          <w:rFonts w:ascii="Century Gothic" w:hAnsi="Century Gothic"/>
          <w:szCs w:val="24"/>
        </w:rPr>
        <w:t>Comprehensive ESRD Care Model</w:t>
      </w:r>
    </w:p>
    <w:p w:rsidR="001950EB" w:rsidRPr="004456DD" w:rsidRDefault="00B82733" w:rsidP="004456DD">
      <w:pPr>
        <w:numPr>
          <w:ilvl w:val="1"/>
          <w:numId w:val="13"/>
        </w:numPr>
        <w:rPr>
          <w:rFonts w:ascii="Century Gothic" w:hAnsi="Century Gothic"/>
          <w:szCs w:val="24"/>
        </w:rPr>
      </w:pPr>
      <w:r w:rsidRPr="004456DD">
        <w:rPr>
          <w:rFonts w:ascii="Century Gothic" w:hAnsi="Century Gothic"/>
          <w:szCs w:val="24"/>
        </w:rPr>
        <w:t>Comprehensive Primary Care Plus (CPC+)</w:t>
      </w:r>
    </w:p>
    <w:p w:rsidR="001950EB" w:rsidRPr="004456DD" w:rsidRDefault="00B82733" w:rsidP="004456DD">
      <w:pPr>
        <w:numPr>
          <w:ilvl w:val="1"/>
          <w:numId w:val="13"/>
        </w:numPr>
        <w:rPr>
          <w:rFonts w:ascii="Century Gothic" w:hAnsi="Century Gothic"/>
          <w:szCs w:val="24"/>
        </w:rPr>
      </w:pPr>
      <w:r w:rsidRPr="004456DD">
        <w:rPr>
          <w:rFonts w:ascii="Century Gothic" w:hAnsi="Century Gothic"/>
          <w:szCs w:val="24"/>
        </w:rPr>
        <w:t>Medicare Shared Savings Program Track 2</w:t>
      </w:r>
    </w:p>
    <w:p w:rsidR="001950EB" w:rsidRPr="004456DD" w:rsidRDefault="00B82733" w:rsidP="004456DD">
      <w:pPr>
        <w:numPr>
          <w:ilvl w:val="1"/>
          <w:numId w:val="13"/>
        </w:numPr>
        <w:rPr>
          <w:rFonts w:ascii="Century Gothic" w:hAnsi="Century Gothic"/>
          <w:szCs w:val="24"/>
        </w:rPr>
      </w:pPr>
      <w:r w:rsidRPr="004456DD">
        <w:rPr>
          <w:rFonts w:ascii="Century Gothic" w:hAnsi="Century Gothic"/>
          <w:szCs w:val="24"/>
        </w:rPr>
        <w:t>MSSP Track 3</w:t>
      </w:r>
    </w:p>
    <w:p w:rsidR="001950EB" w:rsidRPr="004456DD" w:rsidRDefault="00B82733" w:rsidP="004456DD">
      <w:pPr>
        <w:numPr>
          <w:ilvl w:val="1"/>
          <w:numId w:val="13"/>
        </w:numPr>
        <w:rPr>
          <w:rFonts w:ascii="Century Gothic" w:hAnsi="Century Gothic"/>
          <w:szCs w:val="24"/>
        </w:rPr>
      </w:pPr>
      <w:r w:rsidRPr="004456DD">
        <w:rPr>
          <w:rFonts w:ascii="Century Gothic" w:hAnsi="Century Gothic"/>
          <w:szCs w:val="24"/>
        </w:rPr>
        <w:t>Next Generation ACO Model</w:t>
      </w:r>
    </w:p>
    <w:p w:rsidR="001950EB" w:rsidRDefault="00B82733" w:rsidP="004456DD">
      <w:pPr>
        <w:numPr>
          <w:ilvl w:val="1"/>
          <w:numId w:val="13"/>
        </w:numPr>
        <w:rPr>
          <w:rFonts w:ascii="Century Gothic" w:hAnsi="Century Gothic"/>
          <w:szCs w:val="24"/>
        </w:rPr>
      </w:pPr>
      <w:r w:rsidRPr="004456DD">
        <w:rPr>
          <w:rFonts w:ascii="Century Gothic" w:hAnsi="Century Gothic"/>
          <w:szCs w:val="24"/>
        </w:rPr>
        <w:t>Oncology Care Model Two-Sided Risk Arrangement</w:t>
      </w:r>
    </w:p>
    <w:p w:rsidR="004456DD" w:rsidRDefault="004456DD" w:rsidP="001174E1">
      <w:pPr>
        <w:rPr>
          <w:rFonts w:ascii="Century Gothic" w:hAnsi="Century Gothic"/>
          <w:b/>
          <w:szCs w:val="24"/>
        </w:rPr>
      </w:pPr>
      <w:r w:rsidRPr="001174E1">
        <w:rPr>
          <w:rFonts w:ascii="Century Gothic" w:hAnsi="Century Gothic"/>
          <w:b/>
          <w:szCs w:val="24"/>
        </w:rPr>
        <w:t>2017 Thresholds for APMs</w:t>
      </w:r>
    </w:p>
    <w:tbl>
      <w:tblPr>
        <w:tblW w:w="8000" w:type="dxa"/>
        <w:tblCellMar>
          <w:left w:w="0" w:type="dxa"/>
          <w:right w:w="0" w:type="dxa"/>
        </w:tblCellMar>
        <w:tblLook w:val="0420" w:firstRow="1" w:lastRow="0" w:firstColumn="0" w:lastColumn="0" w:noHBand="0" w:noVBand="1"/>
      </w:tblPr>
      <w:tblGrid>
        <w:gridCol w:w="2450"/>
        <w:gridCol w:w="5550"/>
      </w:tblGrid>
      <w:tr w:rsidR="004456DD" w:rsidRPr="004456DD" w:rsidTr="001174E1">
        <w:trPr>
          <w:trHeight w:val="300"/>
        </w:trPr>
        <w:tc>
          <w:tcPr>
            <w:tcW w:w="8000" w:type="dxa"/>
            <w:gridSpan w:val="2"/>
            <w:tcBorders>
              <w:top w:val="single" w:sz="8" w:space="0" w:color="FFFFFF"/>
              <w:left w:val="single" w:sz="8" w:space="0" w:color="FFFFFF"/>
              <w:bottom w:val="single" w:sz="24" w:space="0" w:color="FFFFFF"/>
              <w:right w:val="single" w:sz="8" w:space="0" w:color="FFFFFF"/>
            </w:tcBorders>
            <w:shd w:val="clear" w:color="auto" w:fill="009DDC"/>
            <w:tcMar>
              <w:top w:w="72" w:type="dxa"/>
              <w:left w:w="144" w:type="dxa"/>
              <w:bottom w:w="72" w:type="dxa"/>
              <w:right w:w="144" w:type="dxa"/>
            </w:tcMar>
            <w:vAlign w:val="center"/>
            <w:hideMark/>
          </w:tcPr>
          <w:p w:rsidR="004456DD" w:rsidRPr="004456DD" w:rsidRDefault="004456DD" w:rsidP="004456DD">
            <w:pPr>
              <w:rPr>
                <w:rFonts w:ascii="Century Gothic" w:hAnsi="Century Gothic"/>
                <w:b/>
                <w:szCs w:val="24"/>
              </w:rPr>
            </w:pPr>
            <w:r w:rsidRPr="004456DD">
              <w:rPr>
                <w:rFonts w:ascii="Century Gothic" w:hAnsi="Century Gothic"/>
                <w:b/>
                <w:bCs/>
                <w:szCs w:val="24"/>
              </w:rPr>
              <w:t xml:space="preserve">Participation in Advanced APMs: </w:t>
            </w:r>
            <w:r w:rsidRPr="004456DD">
              <w:rPr>
                <w:rFonts w:ascii="Century Gothic" w:hAnsi="Century Gothic"/>
                <w:b/>
                <w:i/>
                <w:iCs/>
                <w:szCs w:val="24"/>
              </w:rPr>
              <w:t>Incentive Payment Requirements</w:t>
            </w:r>
            <w:r w:rsidRPr="004456DD">
              <w:rPr>
                <w:rFonts w:ascii="Century Gothic" w:hAnsi="Century Gothic"/>
                <w:b/>
                <w:i/>
                <w:iCs/>
                <w:szCs w:val="24"/>
              </w:rPr>
              <w:br/>
            </w:r>
            <w:r w:rsidRPr="004456DD">
              <w:rPr>
                <w:rFonts w:ascii="Century Gothic" w:hAnsi="Century Gothic"/>
                <w:b/>
                <w:szCs w:val="24"/>
              </w:rPr>
              <w:t xml:space="preserve">Clinicians must meet payment </w:t>
            </w:r>
            <w:r w:rsidRPr="004456DD">
              <w:rPr>
                <w:rFonts w:ascii="Century Gothic" w:hAnsi="Century Gothic"/>
                <w:b/>
                <w:bCs/>
                <w:szCs w:val="24"/>
                <w:u w:val="single"/>
              </w:rPr>
              <w:t>or</w:t>
            </w:r>
            <w:r w:rsidRPr="004456DD">
              <w:rPr>
                <w:rFonts w:ascii="Century Gothic" w:hAnsi="Century Gothic"/>
                <w:b/>
                <w:bCs/>
                <w:szCs w:val="24"/>
              </w:rPr>
              <w:t xml:space="preserve"> </w:t>
            </w:r>
            <w:r w:rsidRPr="004456DD">
              <w:rPr>
                <w:rFonts w:ascii="Century Gothic" w:hAnsi="Century Gothic"/>
                <w:b/>
                <w:szCs w:val="24"/>
              </w:rPr>
              <w:t>payment requirements</w:t>
            </w:r>
          </w:p>
        </w:tc>
      </w:tr>
      <w:tr w:rsidR="004456DD" w:rsidRPr="004456DD" w:rsidTr="001174E1">
        <w:trPr>
          <w:trHeight w:val="426"/>
        </w:trPr>
        <w:tc>
          <w:tcPr>
            <w:tcW w:w="2450" w:type="dxa"/>
            <w:tcBorders>
              <w:top w:val="single" w:sz="24" w:space="0" w:color="FFFFFF"/>
              <w:left w:val="single" w:sz="8" w:space="0" w:color="FFFFFF"/>
              <w:bottom w:val="single" w:sz="8" w:space="0" w:color="FFFFFF"/>
              <w:right w:val="single" w:sz="8" w:space="0" w:color="FFFFFF"/>
            </w:tcBorders>
            <w:shd w:val="clear" w:color="auto" w:fill="19AEA8"/>
            <w:tcMar>
              <w:top w:w="72" w:type="dxa"/>
              <w:left w:w="144" w:type="dxa"/>
              <w:bottom w:w="72" w:type="dxa"/>
              <w:right w:w="144" w:type="dxa"/>
            </w:tcMar>
            <w:vAlign w:val="center"/>
            <w:hideMark/>
          </w:tcPr>
          <w:p w:rsidR="004456DD" w:rsidRPr="004456DD" w:rsidRDefault="004456DD" w:rsidP="004456DD">
            <w:pPr>
              <w:rPr>
                <w:rFonts w:ascii="Century Gothic" w:hAnsi="Century Gothic"/>
                <w:b/>
                <w:szCs w:val="24"/>
              </w:rPr>
            </w:pPr>
            <w:r w:rsidRPr="004456DD">
              <w:rPr>
                <w:rFonts w:ascii="Century Gothic" w:hAnsi="Century Gothic"/>
                <w:b/>
                <w:bCs/>
                <w:szCs w:val="24"/>
              </w:rPr>
              <w:t>Payment Year</w:t>
            </w:r>
          </w:p>
        </w:tc>
        <w:tc>
          <w:tcPr>
            <w:tcW w:w="5550" w:type="dxa"/>
            <w:tcBorders>
              <w:top w:val="single" w:sz="24" w:space="0" w:color="FFFFFF"/>
              <w:left w:val="single" w:sz="8" w:space="0" w:color="FFFFFF"/>
              <w:bottom w:val="single" w:sz="8" w:space="0" w:color="FFFFFF"/>
              <w:right w:val="single" w:sz="8" w:space="0" w:color="FFFFFF"/>
            </w:tcBorders>
            <w:shd w:val="clear" w:color="auto" w:fill="19AEA8"/>
            <w:tcMar>
              <w:top w:w="72" w:type="dxa"/>
              <w:left w:w="144" w:type="dxa"/>
              <w:bottom w:w="72" w:type="dxa"/>
              <w:right w:w="144" w:type="dxa"/>
            </w:tcMar>
            <w:vAlign w:val="center"/>
            <w:hideMark/>
          </w:tcPr>
          <w:p w:rsidR="004456DD" w:rsidRPr="004456DD" w:rsidRDefault="004456DD" w:rsidP="004456DD">
            <w:pPr>
              <w:rPr>
                <w:rFonts w:ascii="Century Gothic" w:hAnsi="Century Gothic"/>
                <w:b/>
                <w:szCs w:val="24"/>
              </w:rPr>
            </w:pPr>
            <w:r w:rsidRPr="004456DD">
              <w:rPr>
                <w:rFonts w:ascii="Century Gothic" w:hAnsi="Century Gothic"/>
                <w:b/>
                <w:bCs/>
                <w:szCs w:val="24"/>
              </w:rPr>
              <w:t>2019</w:t>
            </w:r>
          </w:p>
        </w:tc>
      </w:tr>
      <w:tr w:rsidR="004456DD" w:rsidRPr="004456DD" w:rsidTr="001174E1">
        <w:trPr>
          <w:trHeight w:val="521"/>
        </w:trPr>
        <w:tc>
          <w:tcPr>
            <w:tcW w:w="2450" w:type="dxa"/>
            <w:tcBorders>
              <w:top w:val="single" w:sz="8" w:space="0" w:color="FFFFFF"/>
              <w:left w:val="single" w:sz="8" w:space="0" w:color="FFFFFF"/>
              <w:bottom w:val="single" w:sz="8" w:space="0" w:color="FFFFFF"/>
              <w:right w:val="single" w:sz="8" w:space="0" w:color="FFFFFF"/>
            </w:tcBorders>
            <w:shd w:val="clear" w:color="auto" w:fill="DBEEF4"/>
            <w:tcMar>
              <w:top w:w="72" w:type="dxa"/>
              <w:left w:w="144" w:type="dxa"/>
              <w:bottom w:w="72" w:type="dxa"/>
              <w:right w:w="144" w:type="dxa"/>
            </w:tcMar>
            <w:vAlign w:val="center"/>
            <w:hideMark/>
          </w:tcPr>
          <w:p w:rsidR="004456DD" w:rsidRPr="004456DD" w:rsidRDefault="004456DD" w:rsidP="004456DD">
            <w:pPr>
              <w:rPr>
                <w:rFonts w:ascii="Century Gothic" w:hAnsi="Century Gothic"/>
                <w:b/>
                <w:szCs w:val="24"/>
              </w:rPr>
            </w:pPr>
            <w:r w:rsidRPr="004456DD">
              <w:rPr>
                <w:rFonts w:ascii="Century Gothic" w:hAnsi="Century Gothic"/>
                <w:b/>
                <w:szCs w:val="24"/>
              </w:rPr>
              <w:t>% of Payments for Advanced APMs</w:t>
            </w:r>
          </w:p>
        </w:tc>
        <w:tc>
          <w:tcPr>
            <w:tcW w:w="5550" w:type="dxa"/>
            <w:tcBorders>
              <w:top w:val="single" w:sz="8" w:space="0" w:color="FFFFFF"/>
              <w:left w:val="single" w:sz="8" w:space="0" w:color="FFFFFF"/>
              <w:bottom w:val="single" w:sz="8" w:space="0" w:color="FFFFFF"/>
              <w:right w:val="single" w:sz="8" w:space="0" w:color="FFFFFF"/>
            </w:tcBorders>
            <w:shd w:val="clear" w:color="auto" w:fill="DBEEF4"/>
            <w:tcMar>
              <w:top w:w="72" w:type="dxa"/>
              <w:left w:w="144" w:type="dxa"/>
              <w:bottom w:w="72" w:type="dxa"/>
              <w:right w:w="144" w:type="dxa"/>
            </w:tcMar>
            <w:vAlign w:val="center"/>
            <w:hideMark/>
          </w:tcPr>
          <w:p w:rsidR="004456DD" w:rsidRPr="004456DD" w:rsidRDefault="004456DD" w:rsidP="004456DD">
            <w:pPr>
              <w:rPr>
                <w:rFonts w:ascii="Century Gothic" w:hAnsi="Century Gothic"/>
                <w:b/>
                <w:szCs w:val="24"/>
              </w:rPr>
            </w:pPr>
            <w:r w:rsidRPr="004456DD">
              <w:rPr>
                <w:rFonts w:ascii="Century Gothic" w:hAnsi="Century Gothic"/>
                <w:b/>
                <w:szCs w:val="24"/>
              </w:rPr>
              <w:t>25%</w:t>
            </w:r>
          </w:p>
        </w:tc>
      </w:tr>
      <w:tr w:rsidR="004456DD" w:rsidRPr="004456DD" w:rsidTr="001174E1">
        <w:trPr>
          <w:trHeight w:val="979"/>
        </w:trPr>
        <w:tc>
          <w:tcPr>
            <w:tcW w:w="245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44" w:type="dxa"/>
              <w:bottom w:w="72" w:type="dxa"/>
              <w:right w:w="144" w:type="dxa"/>
            </w:tcMar>
            <w:vAlign w:val="center"/>
            <w:hideMark/>
          </w:tcPr>
          <w:p w:rsidR="004456DD" w:rsidRPr="004456DD" w:rsidRDefault="004456DD" w:rsidP="004456DD">
            <w:pPr>
              <w:rPr>
                <w:rFonts w:ascii="Century Gothic" w:hAnsi="Century Gothic"/>
                <w:b/>
                <w:szCs w:val="24"/>
              </w:rPr>
            </w:pPr>
            <w:r w:rsidRPr="004456DD">
              <w:rPr>
                <w:rFonts w:ascii="Century Gothic" w:hAnsi="Century Gothic"/>
                <w:b/>
                <w:szCs w:val="24"/>
              </w:rPr>
              <w:t>% of Patients through an Advanced APMs</w:t>
            </w:r>
          </w:p>
        </w:tc>
        <w:tc>
          <w:tcPr>
            <w:tcW w:w="555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vAlign w:val="center"/>
            <w:hideMark/>
          </w:tcPr>
          <w:p w:rsidR="004456DD" w:rsidRPr="004456DD" w:rsidRDefault="004456DD" w:rsidP="004456DD">
            <w:pPr>
              <w:rPr>
                <w:rFonts w:ascii="Century Gothic" w:hAnsi="Century Gothic"/>
                <w:b/>
                <w:szCs w:val="24"/>
              </w:rPr>
            </w:pPr>
            <w:r w:rsidRPr="004456DD">
              <w:rPr>
                <w:rFonts w:ascii="Century Gothic" w:hAnsi="Century Gothic"/>
                <w:b/>
                <w:szCs w:val="24"/>
              </w:rPr>
              <w:t>20%</w:t>
            </w:r>
          </w:p>
        </w:tc>
      </w:tr>
    </w:tbl>
    <w:p w:rsidR="004456DD" w:rsidRPr="001174E1" w:rsidRDefault="004456DD" w:rsidP="001174E1">
      <w:pPr>
        <w:rPr>
          <w:rFonts w:ascii="Century Gothic" w:hAnsi="Century Gothic"/>
          <w:b/>
          <w:szCs w:val="24"/>
        </w:rPr>
      </w:pPr>
    </w:p>
    <w:p w:rsidR="007268F5" w:rsidRPr="001E308D" w:rsidRDefault="007268F5" w:rsidP="007268F5">
      <w:pPr>
        <w:pStyle w:val="Heading1"/>
        <w:rPr>
          <w:rFonts w:ascii="Century Gothic" w:hAnsi="Century Gothic"/>
        </w:rPr>
      </w:pPr>
      <w:r w:rsidRPr="001E308D">
        <w:rPr>
          <w:rFonts w:ascii="Century Gothic" w:hAnsi="Century Gothic"/>
        </w:rPr>
        <w:t xml:space="preserve">Do I need to do this if I don’t see many Medicare or Medicaid patients? </w:t>
      </w:r>
    </w:p>
    <w:p w:rsidR="007268F5" w:rsidRPr="001E308D" w:rsidRDefault="007268F5" w:rsidP="007268F5">
      <w:pPr>
        <w:rPr>
          <w:rFonts w:ascii="Century Gothic" w:hAnsi="Century Gothic"/>
          <w:szCs w:val="24"/>
        </w:rPr>
      </w:pPr>
      <w:r w:rsidRPr="001E308D">
        <w:rPr>
          <w:rFonts w:ascii="Century Gothic" w:hAnsi="Century Gothic"/>
          <w:szCs w:val="24"/>
        </w:rPr>
        <w:t xml:space="preserve">Participation is optional but keep in mind that historically, commercial payers often follow the lead of CMS when it comes to reimbursement models. If you do enroll, your QIA will also work with you to align payer incentives with those of TCPI since they often overlap. </w:t>
      </w:r>
    </w:p>
    <w:p w:rsidR="007268F5" w:rsidRPr="001E308D" w:rsidRDefault="007268F5" w:rsidP="007268F5">
      <w:pPr>
        <w:rPr>
          <w:rFonts w:ascii="Century Gothic" w:hAnsi="Century Gothic"/>
          <w:szCs w:val="24"/>
        </w:rPr>
      </w:pPr>
      <w:r w:rsidRPr="001E308D">
        <w:rPr>
          <w:rFonts w:ascii="Century Gothic" w:hAnsi="Century Gothic"/>
          <w:szCs w:val="24"/>
        </w:rPr>
        <w:t xml:space="preserve">Another question to ask yourself is whether or not the current population and community you serve is aging. While there are certain specialties that this won’t apply to, it may be something to consider if in time, you think this will happen. </w:t>
      </w:r>
    </w:p>
    <w:p w:rsidR="007268F5" w:rsidRPr="001E308D" w:rsidRDefault="007268F5" w:rsidP="007268F5">
      <w:pPr>
        <w:pStyle w:val="Heading1"/>
        <w:rPr>
          <w:rFonts w:ascii="Century Gothic" w:hAnsi="Century Gothic"/>
        </w:rPr>
      </w:pPr>
      <w:r w:rsidRPr="001E308D">
        <w:rPr>
          <w:rFonts w:ascii="Century Gothic" w:hAnsi="Century Gothic"/>
        </w:rPr>
        <w:t>Can I wait or do I need to sign up today?</w:t>
      </w:r>
    </w:p>
    <w:p w:rsidR="007268F5" w:rsidRPr="001E308D" w:rsidRDefault="007268F5" w:rsidP="007268F5">
      <w:pPr>
        <w:rPr>
          <w:rFonts w:ascii="Century Gothic" w:hAnsi="Century Gothic"/>
          <w:szCs w:val="24"/>
        </w:rPr>
      </w:pPr>
      <w:r w:rsidRPr="001E308D">
        <w:rPr>
          <w:rFonts w:ascii="Century Gothic" w:hAnsi="Century Gothic"/>
          <w:szCs w:val="24"/>
        </w:rPr>
        <w:t xml:space="preserve">You can wait but keep in mind that </w:t>
      </w:r>
      <w:r w:rsidR="006B7270">
        <w:rPr>
          <w:rFonts w:ascii="Century Gothic" w:hAnsi="Century Gothic"/>
          <w:szCs w:val="24"/>
        </w:rPr>
        <w:t xml:space="preserve">performance </w:t>
      </w:r>
      <w:r w:rsidRPr="001E308D">
        <w:rPr>
          <w:rFonts w:ascii="Century Gothic" w:hAnsi="Century Gothic"/>
          <w:szCs w:val="24"/>
        </w:rPr>
        <w:t>measurement for 2019 reimbursement begins January 1, 2017.  Participation will greatly improve your ability to be at or above benchmark status on the effective date, as well as give you peace of mind that you will be able to sustain your score and thrive in value-based healthcare.</w:t>
      </w:r>
    </w:p>
    <w:p w:rsidR="007268F5" w:rsidRPr="001E308D" w:rsidRDefault="007268F5" w:rsidP="007268F5">
      <w:pPr>
        <w:pStyle w:val="Heading1"/>
        <w:rPr>
          <w:rFonts w:ascii="Century Gothic" w:hAnsi="Century Gothic"/>
        </w:rPr>
      </w:pPr>
      <w:r w:rsidRPr="001E308D">
        <w:rPr>
          <w:rFonts w:ascii="Century Gothic" w:hAnsi="Century Gothic"/>
        </w:rPr>
        <w:t xml:space="preserve">Who do I contact if I have more questions? </w:t>
      </w:r>
    </w:p>
    <w:p w:rsidR="007268F5" w:rsidRPr="001E308D" w:rsidRDefault="007268F5" w:rsidP="007268F5">
      <w:pPr>
        <w:rPr>
          <w:rFonts w:ascii="Century Gothic" w:hAnsi="Century Gothic"/>
          <w:szCs w:val="24"/>
        </w:rPr>
      </w:pPr>
      <w:r w:rsidRPr="001E308D">
        <w:rPr>
          <w:rFonts w:ascii="Century Gothic" w:hAnsi="Century Gothic"/>
          <w:szCs w:val="24"/>
        </w:rPr>
        <w:t xml:space="preserve">Please send an email to </w:t>
      </w:r>
      <w:r w:rsidR="006B7270">
        <w:rPr>
          <w:rFonts w:ascii="Century Gothic" w:hAnsi="Century Gothic"/>
          <w:szCs w:val="24"/>
        </w:rPr>
        <w:t>Meg Nugent</w:t>
      </w:r>
      <w:r w:rsidRPr="001E308D">
        <w:rPr>
          <w:rFonts w:ascii="Century Gothic" w:hAnsi="Century Gothic"/>
          <w:szCs w:val="24"/>
        </w:rPr>
        <w:t xml:space="preserve"> at </w:t>
      </w:r>
      <w:hyperlink r:id="rId12" w:history="1">
        <w:r w:rsidR="006B7270">
          <w:rPr>
            <w:rStyle w:val="Hyperlink"/>
            <w:rFonts w:ascii="Century Gothic" w:hAnsi="Century Gothic"/>
          </w:rPr>
          <w:t>nugentm</w:t>
        </w:r>
        <w:r w:rsidR="006B7270" w:rsidRPr="001E308D">
          <w:rPr>
            <w:rStyle w:val="Hyperlink"/>
            <w:rFonts w:ascii="Century Gothic" w:hAnsi="Century Gothic"/>
          </w:rPr>
          <w:t>@ihconline.org</w:t>
        </w:r>
      </w:hyperlink>
      <w:r w:rsidRPr="001E308D">
        <w:rPr>
          <w:rStyle w:val="Hyperlink"/>
          <w:rFonts w:ascii="Century Gothic" w:hAnsi="Century Gothic"/>
          <w:szCs w:val="24"/>
        </w:rPr>
        <w:t>.</w:t>
      </w:r>
    </w:p>
    <w:p w:rsidR="006B7F18" w:rsidRDefault="006B7F1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FC2A68">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FC2A68">
      <w:pPr>
        <w:pStyle w:val="NormalWeb"/>
        <w:spacing w:before="0" w:beforeAutospacing="0" w:after="0" w:afterAutospacing="0"/>
        <w:rPr>
          <w:rFonts w:ascii="Century Gothic" w:eastAsia="+mn-ea" w:hAnsi="Century Gothic" w:cs="+mn-cs"/>
          <w:i/>
          <w:iCs/>
          <w:color w:val="000000"/>
          <w:kern w:val="24"/>
          <w:sz w:val="14"/>
          <w:szCs w:val="14"/>
        </w:rPr>
      </w:pPr>
    </w:p>
    <w:p w:rsidR="00FC2A68" w:rsidRDefault="00FC2A68" w:rsidP="00FC2A68">
      <w:pPr>
        <w:pStyle w:val="NormalWeb"/>
        <w:spacing w:before="0" w:beforeAutospacing="0" w:after="0" w:afterAutospacing="0"/>
        <w:rPr>
          <w:rFonts w:ascii="Century Gothic" w:eastAsia="+mn-ea" w:hAnsi="Century Gothic" w:cs="+mn-cs"/>
          <w:i/>
          <w:iCs/>
          <w:color w:val="000000"/>
          <w:kern w:val="24"/>
          <w:sz w:val="14"/>
          <w:szCs w:val="14"/>
        </w:rPr>
      </w:pPr>
    </w:p>
    <w:p w:rsidR="00FC2A68" w:rsidRPr="00FB7B09" w:rsidRDefault="00FC2A68" w:rsidP="00FC2A68">
      <w:pPr>
        <w:pStyle w:val="NormalWeb"/>
        <w:spacing w:before="0" w:beforeAutospacing="0" w:after="0" w:afterAutospacing="0"/>
        <w:rPr>
          <w:rFonts w:ascii="Century Gothic" w:hAnsi="Century Gothic"/>
        </w:rPr>
      </w:pPr>
      <w:r w:rsidRPr="001E308D">
        <w:rPr>
          <w:rFonts w:ascii="Century Gothic" w:eastAsia="+mn-ea" w:hAnsi="Century Gothic" w:cs="+mn-cs"/>
          <w:i/>
          <w:iCs/>
          <w:color w:val="000000"/>
          <w:kern w:val="24"/>
          <w:sz w:val="14"/>
          <w:szCs w:val="14"/>
        </w:rPr>
        <w:t>The Compass Practice Transformation Network is supported by Funding Opportunity Number CMS-1L1-15-003 from the U.S. Department of Health and Human Services, Centers for Medicare &amp; Medicaid Services. The contents of this publication are solely the responsibility of the authors and do not necessarily represent the views of the U.S. Department of Health and Human Services or any of its agencies.</w:t>
      </w:r>
    </w:p>
    <w:p w:rsidR="00FC2A68" w:rsidRDefault="00FC2A68" w:rsidP="001A61B3">
      <w:pPr>
        <w:pStyle w:val="NormalWeb"/>
        <w:spacing w:before="0" w:beforeAutospacing="0" w:after="0" w:afterAutospacing="0"/>
        <w:rPr>
          <w:rFonts w:ascii="Century Gothic" w:eastAsia="+mn-ea" w:hAnsi="Century Gothic" w:cs="+mn-cs"/>
          <w:i/>
          <w:iCs/>
          <w:color w:val="000000"/>
          <w:kern w:val="24"/>
          <w:sz w:val="14"/>
          <w:szCs w:val="14"/>
        </w:rPr>
      </w:pPr>
    </w:p>
    <w:sectPr w:rsidR="00FC2A68" w:rsidSect="00B22934">
      <w:headerReference w:type="default" r:id="rId13"/>
      <w:footerReference w:type="default" r:id="rId14"/>
      <w:pgSz w:w="12240" w:h="15840"/>
      <w:pgMar w:top="2016"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6E" w:rsidRDefault="0058426E">
      <w:pPr>
        <w:spacing w:after="0" w:line="240" w:lineRule="auto"/>
      </w:pPr>
      <w:r>
        <w:separator/>
      </w:r>
    </w:p>
  </w:endnote>
  <w:endnote w:type="continuationSeparator" w:id="0">
    <w:p w:rsidR="0058426E" w:rsidRDefault="005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1705"/>
    </w:tblGrid>
    <w:tr w:rsidR="003D2B1E" w:rsidRPr="001E308D" w:rsidTr="003D2B1E">
      <w:tc>
        <w:tcPr>
          <w:tcW w:w="8365" w:type="dxa"/>
          <w:vAlign w:val="bottom"/>
        </w:tcPr>
        <w:p w:rsidR="003D2B1E" w:rsidRPr="001E308D" w:rsidRDefault="001E7C56" w:rsidP="003D2B1E">
          <w:pPr>
            <w:pStyle w:val="Footer"/>
            <w:tabs>
              <w:tab w:val="left" w:pos="885"/>
            </w:tabs>
            <w:rPr>
              <w:rFonts w:ascii="Century Gothic" w:hAnsi="Century Gothic"/>
              <w:sz w:val="18"/>
            </w:rPr>
          </w:pPr>
        </w:p>
        <w:p w:rsidR="003D2B1E" w:rsidRPr="001E308D" w:rsidRDefault="007E11A5" w:rsidP="003D2B1E">
          <w:pPr>
            <w:pStyle w:val="Footer"/>
            <w:tabs>
              <w:tab w:val="left" w:pos="885"/>
            </w:tabs>
            <w:rPr>
              <w:rFonts w:ascii="Century Gothic" w:hAnsi="Century Gothic"/>
              <w:sz w:val="18"/>
            </w:rPr>
          </w:pPr>
          <w:r w:rsidRPr="001E308D">
            <w:rPr>
              <w:rFonts w:ascii="Century Gothic" w:hAnsi="Century Gothic"/>
              <w:sz w:val="18"/>
            </w:rPr>
            <w:t>La</w:t>
          </w:r>
          <w:r w:rsidR="00E20C36">
            <w:rPr>
              <w:rFonts w:ascii="Century Gothic" w:hAnsi="Century Gothic"/>
              <w:sz w:val="18"/>
            </w:rPr>
            <w:t xml:space="preserve">st Updated: </w:t>
          </w:r>
          <w:r w:rsidR="00536A09">
            <w:rPr>
              <w:rFonts w:ascii="Century Gothic" w:hAnsi="Century Gothic"/>
              <w:sz w:val="18"/>
            </w:rPr>
            <w:t>November 2, 2016</w:t>
          </w:r>
        </w:p>
        <w:p w:rsidR="003D2B1E" w:rsidRPr="001E308D" w:rsidRDefault="001E7C56" w:rsidP="003D2B1E">
          <w:pPr>
            <w:pStyle w:val="Footer"/>
            <w:tabs>
              <w:tab w:val="left" w:pos="885"/>
            </w:tabs>
            <w:rPr>
              <w:rFonts w:ascii="Century Gothic" w:hAnsi="Century Gothic"/>
              <w:sz w:val="18"/>
            </w:rPr>
          </w:pPr>
        </w:p>
      </w:tc>
      <w:tc>
        <w:tcPr>
          <w:tcW w:w="1705" w:type="dxa"/>
        </w:tcPr>
        <w:p w:rsidR="003D2B1E" w:rsidRPr="001E308D" w:rsidRDefault="001E7C56" w:rsidP="003D2B1E">
          <w:pPr>
            <w:pStyle w:val="Footer"/>
            <w:tabs>
              <w:tab w:val="left" w:pos="885"/>
            </w:tabs>
            <w:jc w:val="right"/>
            <w:rPr>
              <w:rFonts w:ascii="Century Gothic" w:hAnsi="Century Gothic"/>
              <w:sz w:val="18"/>
            </w:rPr>
          </w:pPr>
        </w:p>
        <w:p w:rsidR="003D2B1E" w:rsidRPr="001E308D" w:rsidRDefault="00B41C04" w:rsidP="003D2B1E">
          <w:pPr>
            <w:pStyle w:val="Footer"/>
            <w:tabs>
              <w:tab w:val="left" w:pos="885"/>
            </w:tabs>
            <w:jc w:val="right"/>
            <w:rPr>
              <w:rFonts w:ascii="Century Gothic" w:hAnsi="Century Gothic"/>
              <w:sz w:val="18"/>
            </w:rPr>
          </w:pPr>
          <w:r w:rsidRPr="001E308D">
            <w:rPr>
              <w:rFonts w:ascii="Century Gothic" w:hAnsi="Century Gothic"/>
              <w:sz w:val="18"/>
            </w:rPr>
            <w:t xml:space="preserve">Page </w:t>
          </w:r>
          <w:r w:rsidRPr="001E308D">
            <w:rPr>
              <w:rFonts w:ascii="Century Gothic" w:hAnsi="Century Gothic"/>
              <w:b/>
              <w:bCs/>
              <w:sz w:val="18"/>
            </w:rPr>
            <w:fldChar w:fldCharType="begin"/>
          </w:r>
          <w:r w:rsidRPr="001E308D">
            <w:rPr>
              <w:rFonts w:ascii="Century Gothic" w:hAnsi="Century Gothic"/>
              <w:b/>
              <w:bCs/>
              <w:sz w:val="18"/>
            </w:rPr>
            <w:instrText xml:space="preserve"> PAGE  \* Arabic  \* MERGEFORMAT </w:instrText>
          </w:r>
          <w:r w:rsidRPr="001E308D">
            <w:rPr>
              <w:rFonts w:ascii="Century Gothic" w:hAnsi="Century Gothic"/>
              <w:b/>
              <w:bCs/>
              <w:sz w:val="18"/>
            </w:rPr>
            <w:fldChar w:fldCharType="separate"/>
          </w:r>
          <w:r w:rsidR="001E7C56">
            <w:rPr>
              <w:rFonts w:ascii="Century Gothic" w:hAnsi="Century Gothic"/>
              <w:b/>
              <w:bCs/>
              <w:noProof/>
              <w:sz w:val="18"/>
            </w:rPr>
            <w:t>1</w:t>
          </w:r>
          <w:r w:rsidRPr="001E308D">
            <w:rPr>
              <w:rFonts w:ascii="Century Gothic" w:hAnsi="Century Gothic"/>
              <w:b/>
              <w:bCs/>
              <w:sz w:val="18"/>
            </w:rPr>
            <w:fldChar w:fldCharType="end"/>
          </w:r>
          <w:r w:rsidRPr="001E308D">
            <w:rPr>
              <w:rFonts w:ascii="Century Gothic" w:hAnsi="Century Gothic"/>
              <w:sz w:val="18"/>
            </w:rPr>
            <w:t xml:space="preserve"> of </w:t>
          </w:r>
          <w:r w:rsidRPr="001E308D">
            <w:rPr>
              <w:rFonts w:ascii="Century Gothic" w:hAnsi="Century Gothic"/>
              <w:b/>
              <w:bCs/>
              <w:sz w:val="18"/>
            </w:rPr>
            <w:fldChar w:fldCharType="begin"/>
          </w:r>
          <w:r w:rsidRPr="001E308D">
            <w:rPr>
              <w:rFonts w:ascii="Century Gothic" w:hAnsi="Century Gothic"/>
              <w:b/>
              <w:bCs/>
              <w:sz w:val="18"/>
            </w:rPr>
            <w:instrText xml:space="preserve"> NUMPAGES  \* Arabic  \* MERGEFORMAT </w:instrText>
          </w:r>
          <w:r w:rsidRPr="001E308D">
            <w:rPr>
              <w:rFonts w:ascii="Century Gothic" w:hAnsi="Century Gothic"/>
              <w:b/>
              <w:bCs/>
              <w:sz w:val="18"/>
            </w:rPr>
            <w:fldChar w:fldCharType="separate"/>
          </w:r>
          <w:r w:rsidR="001E7C56">
            <w:rPr>
              <w:rFonts w:ascii="Century Gothic" w:hAnsi="Century Gothic"/>
              <w:b/>
              <w:bCs/>
              <w:noProof/>
              <w:sz w:val="18"/>
            </w:rPr>
            <w:t>10</w:t>
          </w:r>
          <w:r w:rsidRPr="001E308D">
            <w:rPr>
              <w:rFonts w:ascii="Century Gothic" w:hAnsi="Century Gothic"/>
              <w:b/>
              <w:bCs/>
              <w:sz w:val="18"/>
            </w:rPr>
            <w:fldChar w:fldCharType="end"/>
          </w:r>
        </w:p>
      </w:tc>
    </w:tr>
  </w:tbl>
  <w:p w:rsidR="003D2B1E" w:rsidRDefault="00B41C04" w:rsidP="003D2B1E">
    <w:pPr>
      <w:pStyle w:val="Footer"/>
      <w:tabs>
        <w:tab w:val="left" w:pos="885"/>
      </w:tabs>
    </w:pPr>
    <w:r>
      <w:tab/>
    </w:r>
    <w:r>
      <w:tab/>
    </w:r>
  </w:p>
  <w:p w:rsidR="003D2B1E" w:rsidRDefault="001E7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6E" w:rsidRDefault="0058426E">
      <w:pPr>
        <w:spacing w:after="0" w:line="240" w:lineRule="auto"/>
      </w:pPr>
      <w:r>
        <w:separator/>
      </w:r>
    </w:p>
  </w:footnote>
  <w:footnote w:type="continuationSeparator" w:id="0">
    <w:p w:rsidR="0058426E" w:rsidRDefault="00584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1E" w:rsidRDefault="00B41C04">
    <w:pPr>
      <w:pStyle w:val="Header"/>
    </w:pPr>
    <w:r>
      <w:rPr>
        <w:noProof/>
        <w:lang w:eastAsia="en-US"/>
      </w:rPr>
      <w:drawing>
        <wp:inline distT="0" distB="0" distL="0" distR="0" wp14:anchorId="13EA222E" wp14:editId="182DEB25">
          <wp:extent cx="1887524"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pass_full_color.png"/>
                  <pic:cNvPicPr/>
                </pic:nvPicPr>
                <pic:blipFill rotWithShape="1">
                  <a:blip r:embed="rId1" cstate="print">
                    <a:extLst>
                      <a:ext uri="{28A0092B-C50C-407E-A947-70E740481C1C}">
                        <a14:useLocalDpi xmlns:a14="http://schemas.microsoft.com/office/drawing/2010/main" val="0"/>
                      </a:ext>
                    </a:extLst>
                  </a:blip>
                  <a:srcRect l="13942" t="41026" r="13943" b="41506"/>
                  <a:stretch/>
                </pic:blipFill>
                <pic:spPr bwMode="auto">
                  <a:xfrm>
                    <a:off x="0" y="0"/>
                    <a:ext cx="1887524"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052E"/>
    <w:multiLevelType w:val="hybridMultilevel"/>
    <w:tmpl w:val="C53E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03241"/>
    <w:multiLevelType w:val="hybridMultilevel"/>
    <w:tmpl w:val="5292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A42BD"/>
    <w:multiLevelType w:val="hybridMultilevel"/>
    <w:tmpl w:val="FF4A3E62"/>
    <w:lvl w:ilvl="0" w:tplc="A92455F2">
      <w:start w:val="1"/>
      <w:numFmt w:val="bullet"/>
      <w:lvlText w:val="•"/>
      <w:lvlJc w:val="left"/>
      <w:pPr>
        <w:tabs>
          <w:tab w:val="num" w:pos="720"/>
        </w:tabs>
        <w:ind w:left="720" w:hanging="360"/>
      </w:pPr>
      <w:rPr>
        <w:rFonts w:ascii="Arial" w:hAnsi="Arial" w:hint="default"/>
      </w:rPr>
    </w:lvl>
    <w:lvl w:ilvl="1" w:tplc="B78E3FFE">
      <w:numFmt w:val="bullet"/>
      <w:lvlText w:val="–"/>
      <w:lvlJc w:val="left"/>
      <w:pPr>
        <w:tabs>
          <w:tab w:val="num" w:pos="1440"/>
        </w:tabs>
        <w:ind w:left="1440" w:hanging="360"/>
      </w:pPr>
      <w:rPr>
        <w:rFonts w:ascii="Times New Roman" w:hAnsi="Times New Roman" w:hint="default"/>
      </w:rPr>
    </w:lvl>
    <w:lvl w:ilvl="2" w:tplc="7D521DD6" w:tentative="1">
      <w:start w:val="1"/>
      <w:numFmt w:val="bullet"/>
      <w:lvlText w:val="•"/>
      <w:lvlJc w:val="left"/>
      <w:pPr>
        <w:tabs>
          <w:tab w:val="num" w:pos="2160"/>
        </w:tabs>
        <w:ind w:left="2160" w:hanging="360"/>
      </w:pPr>
      <w:rPr>
        <w:rFonts w:ascii="Arial" w:hAnsi="Arial" w:hint="default"/>
      </w:rPr>
    </w:lvl>
    <w:lvl w:ilvl="3" w:tplc="12362060" w:tentative="1">
      <w:start w:val="1"/>
      <w:numFmt w:val="bullet"/>
      <w:lvlText w:val="•"/>
      <w:lvlJc w:val="left"/>
      <w:pPr>
        <w:tabs>
          <w:tab w:val="num" w:pos="2880"/>
        </w:tabs>
        <w:ind w:left="2880" w:hanging="360"/>
      </w:pPr>
      <w:rPr>
        <w:rFonts w:ascii="Arial" w:hAnsi="Arial" w:hint="default"/>
      </w:rPr>
    </w:lvl>
    <w:lvl w:ilvl="4" w:tplc="652224E6" w:tentative="1">
      <w:start w:val="1"/>
      <w:numFmt w:val="bullet"/>
      <w:lvlText w:val="•"/>
      <w:lvlJc w:val="left"/>
      <w:pPr>
        <w:tabs>
          <w:tab w:val="num" w:pos="3600"/>
        </w:tabs>
        <w:ind w:left="3600" w:hanging="360"/>
      </w:pPr>
      <w:rPr>
        <w:rFonts w:ascii="Arial" w:hAnsi="Arial" w:hint="default"/>
      </w:rPr>
    </w:lvl>
    <w:lvl w:ilvl="5" w:tplc="D09C701A" w:tentative="1">
      <w:start w:val="1"/>
      <w:numFmt w:val="bullet"/>
      <w:lvlText w:val="•"/>
      <w:lvlJc w:val="left"/>
      <w:pPr>
        <w:tabs>
          <w:tab w:val="num" w:pos="4320"/>
        </w:tabs>
        <w:ind w:left="4320" w:hanging="360"/>
      </w:pPr>
      <w:rPr>
        <w:rFonts w:ascii="Arial" w:hAnsi="Arial" w:hint="default"/>
      </w:rPr>
    </w:lvl>
    <w:lvl w:ilvl="6" w:tplc="11381282" w:tentative="1">
      <w:start w:val="1"/>
      <w:numFmt w:val="bullet"/>
      <w:lvlText w:val="•"/>
      <w:lvlJc w:val="left"/>
      <w:pPr>
        <w:tabs>
          <w:tab w:val="num" w:pos="5040"/>
        </w:tabs>
        <w:ind w:left="5040" w:hanging="360"/>
      </w:pPr>
      <w:rPr>
        <w:rFonts w:ascii="Arial" w:hAnsi="Arial" w:hint="default"/>
      </w:rPr>
    </w:lvl>
    <w:lvl w:ilvl="7" w:tplc="74B6E030" w:tentative="1">
      <w:start w:val="1"/>
      <w:numFmt w:val="bullet"/>
      <w:lvlText w:val="•"/>
      <w:lvlJc w:val="left"/>
      <w:pPr>
        <w:tabs>
          <w:tab w:val="num" w:pos="5760"/>
        </w:tabs>
        <w:ind w:left="5760" w:hanging="360"/>
      </w:pPr>
      <w:rPr>
        <w:rFonts w:ascii="Arial" w:hAnsi="Arial" w:hint="default"/>
      </w:rPr>
    </w:lvl>
    <w:lvl w:ilvl="8" w:tplc="4CE2EC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23498B"/>
    <w:multiLevelType w:val="hybridMultilevel"/>
    <w:tmpl w:val="C7DE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47425"/>
    <w:multiLevelType w:val="multilevel"/>
    <w:tmpl w:val="F2FAF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C1A0D"/>
    <w:multiLevelType w:val="hybridMultilevel"/>
    <w:tmpl w:val="37C4C834"/>
    <w:lvl w:ilvl="0" w:tplc="06704110">
      <w:start w:val="1"/>
      <w:numFmt w:val="bullet"/>
      <w:lvlText w:val=""/>
      <w:lvlJc w:val="left"/>
      <w:pPr>
        <w:tabs>
          <w:tab w:val="num" w:pos="720"/>
        </w:tabs>
        <w:ind w:left="720" w:hanging="360"/>
      </w:pPr>
      <w:rPr>
        <w:rFonts w:ascii="Wingdings" w:hAnsi="Wingdings" w:hint="default"/>
      </w:rPr>
    </w:lvl>
    <w:lvl w:ilvl="1" w:tplc="57BC472C">
      <w:start w:val="1"/>
      <w:numFmt w:val="bullet"/>
      <w:lvlText w:val=""/>
      <w:lvlJc w:val="left"/>
      <w:pPr>
        <w:tabs>
          <w:tab w:val="num" w:pos="1440"/>
        </w:tabs>
        <w:ind w:left="1440" w:hanging="360"/>
      </w:pPr>
      <w:rPr>
        <w:rFonts w:ascii="Wingdings" w:hAnsi="Wingdings" w:hint="default"/>
      </w:rPr>
    </w:lvl>
    <w:lvl w:ilvl="2" w:tplc="C862F544" w:tentative="1">
      <w:start w:val="1"/>
      <w:numFmt w:val="bullet"/>
      <w:lvlText w:val=""/>
      <w:lvlJc w:val="left"/>
      <w:pPr>
        <w:tabs>
          <w:tab w:val="num" w:pos="2160"/>
        </w:tabs>
        <w:ind w:left="2160" w:hanging="360"/>
      </w:pPr>
      <w:rPr>
        <w:rFonts w:ascii="Wingdings" w:hAnsi="Wingdings" w:hint="default"/>
      </w:rPr>
    </w:lvl>
    <w:lvl w:ilvl="3" w:tplc="E31E85C0" w:tentative="1">
      <w:start w:val="1"/>
      <w:numFmt w:val="bullet"/>
      <w:lvlText w:val=""/>
      <w:lvlJc w:val="left"/>
      <w:pPr>
        <w:tabs>
          <w:tab w:val="num" w:pos="2880"/>
        </w:tabs>
        <w:ind w:left="2880" w:hanging="360"/>
      </w:pPr>
      <w:rPr>
        <w:rFonts w:ascii="Wingdings" w:hAnsi="Wingdings" w:hint="default"/>
      </w:rPr>
    </w:lvl>
    <w:lvl w:ilvl="4" w:tplc="852A1480" w:tentative="1">
      <w:start w:val="1"/>
      <w:numFmt w:val="bullet"/>
      <w:lvlText w:val=""/>
      <w:lvlJc w:val="left"/>
      <w:pPr>
        <w:tabs>
          <w:tab w:val="num" w:pos="3600"/>
        </w:tabs>
        <w:ind w:left="3600" w:hanging="360"/>
      </w:pPr>
      <w:rPr>
        <w:rFonts w:ascii="Wingdings" w:hAnsi="Wingdings" w:hint="default"/>
      </w:rPr>
    </w:lvl>
    <w:lvl w:ilvl="5" w:tplc="C756D8F4" w:tentative="1">
      <w:start w:val="1"/>
      <w:numFmt w:val="bullet"/>
      <w:lvlText w:val=""/>
      <w:lvlJc w:val="left"/>
      <w:pPr>
        <w:tabs>
          <w:tab w:val="num" w:pos="4320"/>
        </w:tabs>
        <w:ind w:left="4320" w:hanging="360"/>
      </w:pPr>
      <w:rPr>
        <w:rFonts w:ascii="Wingdings" w:hAnsi="Wingdings" w:hint="default"/>
      </w:rPr>
    </w:lvl>
    <w:lvl w:ilvl="6" w:tplc="85A0EF78" w:tentative="1">
      <w:start w:val="1"/>
      <w:numFmt w:val="bullet"/>
      <w:lvlText w:val=""/>
      <w:lvlJc w:val="left"/>
      <w:pPr>
        <w:tabs>
          <w:tab w:val="num" w:pos="5040"/>
        </w:tabs>
        <w:ind w:left="5040" w:hanging="360"/>
      </w:pPr>
      <w:rPr>
        <w:rFonts w:ascii="Wingdings" w:hAnsi="Wingdings" w:hint="default"/>
      </w:rPr>
    </w:lvl>
    <w:lvl w:ilvl="7" w:tplc="98929D1C" w:tentative="1">
      <w:start w:val="1"/>
      <w:numFmt w:val="bullet"/>
      <w:lvlText w:val=""/>
      <w:lvlJc w:val="left"/>
      <w:pPr>
        <w:tabs>
          <w:tab w:val="num" w:pos="5760"/>
        </w:tabs>
        <w:ind w:left="5760" w:hanging="360"/>
      </w:pPr>
      <w:rPr>
        <w:rFonts w:ascii="Wingdings" w:hAnsi="Wingdings" w:hint="default"/>
      </w:rPr>
    </w:lvl>
    <w:lvl w:ilvl="8" w:tplc="C53C27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0054F"/>
    <w:multiLevelType w:val="hybridMultilevel"/>
    <w:tmpl w:val="C65A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91A11"/>
    <w:multiLevelType w:val="hybridMultilevel"/>
    <w:tmpl w:val="58C29A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7617D"/>
    <w:multiLevelType w:val="hybridMultilevel"/>
    <w:tmpl w:val="5F38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63AB4"/>
    <w:multiLevelType w:val="hybridMultilevel"/>
    <w:tmpl w:val="9A1ED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60122D"/>
    <w:multiLevelType w:val="hybridMultilevel"/>
    <w:tmpl w:val="1288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0248FD"/>
    <w:multiLevelType w:val="multilevel"/>
    <w:tmpl w:val="9CB6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2C2465"/>
    <w:multiLevelType w:val="multilevel"/>
    <w:tmpl w:val="D4AC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F2CA7"/>
    <w:multiLevelType w:val="hybridMultilevel"/>
    <w:tmpl w:val="77EAA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61A1B"/>
    <w:multiLevelType w:val="hybridMultilevel"/>
    <w:tmpl w:val="612C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B5D26"/>
    <w:multiLevelType w:val="hybridMultilevel"/>
    <w:tmpl w:val="93C0B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8"/>
  </w:num>
  <w:num w:numId="5">
    <w:abstractNumId w:val="13"/>
  </w:num>
  <w:num w:numId="6">
    <w:abstractNumId w:val="0"/>
  </w:num>
  <w:num w:numId="7">
    <w:abstractNumId w:val="6"/>
  </w:num>
  <w:num w:numId="8">
    <w:abstractNumId w:val="3"/>
  </w:num>
  <w:num w:numId="9">
    <w:abstractNumId w:val="7"/>
  </w:num>
  <w:num w:numId="10">
    <w:abstractNumId w:val="1"/>
  </w:num>
  <w:num w:numId="11">
    <w:abstractNumId w:val="11"/>
  </w:num>
  <w:num w:numId="12">
    <w:abstractNumId w:val="2"/>
  </w:num>
  <w:num w:numId="13">
    <w:abstractNumId w:val="5"/>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F5"/>
    <w:rsid w:val="001174E1"/>
    <w:rsid w:val="001950EB"/>
    <w:rsid w:val="001A61B3"/>
    <w:rsid w:val="001D01BA"/>
    <w:rsid w:val="001D5F50"/>
    <w:rsid w:val="001E308D"/>
    <w:rsid w:val="001E7C56"/>
    <w:rsid w:val="0028580C"/>
    <w:rsid w:val="002C4656"/>
    <w:rsid w:val="002C4D98"/>
    <w:rsid w:val="003972B8"/>
    <w:rsid w:val="004456DD"/>
    <w:rsid w:val="004516D6"/>
    <w:rsid w:val="004C34EC"/>
    <w:rsid w:val="00536A09"/>
    <w:rsid w:val="0058426E"/>
    <w:rsid w:val="00585002"/>
    <w:rsid w:val="00591778"/>
    <w:rsid w:val="005B0A88"/>
    <w:rsid w:val="00666AE0"/>
    <w:rsid w:val="006B7270"/>
    <w:rsid w:val="006B7F18"/>
    <w:rsid w:val="007268F5"/>
    <w:rsid w:val="007E11A5"/>
    <w:rsid w:val="008A008B"/>
    <w:rsid w:val="009C7387"/>
    <w:rsid w:val="00A05A19"/>
    <w:rsid w:val="00A31B36"/>
    <w:rsid w:val="00A75BE6"/>
    <w:rsid w:val="00B40AB4"/>
    <w:rsid w:val="00B41C04"/>
    <w:rsid w:val="00B82733"/>
    <w:rsid w:val="00E17439"/>
    <w:rsid w:val="00E20C36"/>
    <w:rsid w:val="00E40A9C"/>
    <w:rsid w:val="00E70AC5"/>
    <w:rsid w:val="00E87107"/>
    <w:rsid w:val="00EB11A3"/>
    <w:rsid w:val="00ED4AF1"/>
    <w:rsid w:val="00FB7B09"/>
    <w:rsid w:val="00FC2A68"/>
    <w:rsid w:val="00FD2763"/>
    <w:rsid w:val="00FE1B1A"/>
    <w:rsid w:val="00FF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7E7E6B9-DC72-4CBB-98D0-E4BBEE21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8F5"/>
    <w:pPr>
      <w:spacing w:line="252" w:lineRule="auto"/>
    </w:pPr>
    <w:rPr>
      <w:rFonts w:eastAsiaTheme="minorEastAsia"/>
      <w:sz w:val="24"/>
      <w:lang w:eastAsia="ja-JP"/>
    </w:rPr>
  </w:style>
  <w:style w:type="paragraph" w:styleId="Heading1">
    <w:name w:val="heading 1"/>
    <w:basedOn w:val="Normal"/>
    <w:next w:val="Normal"/>
    <w:link w:val="Heading1Char"/>
    <w:uiPriority w:val="9"/>
    <w:qFormat/>
    <w:rsid w:val="007268F5"/>
    <w:pPr>
      <w:keepNext/>
      <w:keepLines/>
      <w:spacing w:before="320" w:after="60"/>
      <w:outlineLvl w:val="0"/>
    </w:pPr>
    <w:rPr>
      <w:rFonts w:asciiTheme="majorHAnsi" w:eastAsiaTheme="majorEastAsia" w:hAnsiTheme="majorHAnsi" w:cstheme="majorBidi"/>
      <w:b/>
      <w:bCs/>
      <w:spacing w:val="4"/>
      <w:szCs w:val="28"/>
    </w:rPr>
  </w:style>
  <w:style w:type="paragraph" w:styleId="Heading3">
    <w:name w:val="heading 3"/>
    <w:basedOn w:val="Normal"/>
    <w:next w:val="Normal"/>
    <w:link w:val="Heading3Char"/>
    <w:uiPriority w:val="9"/>
    <w:semiHidden/>
    <w:unhideWhenUsed/>
    <w:qFormat/>
    <w:rsid w:val="00666AE0"/>
    <w:pPr>
      <w:keepNext/>
      <w:keepLines/>
      <w:spacing w:before="40" w:after="0"/>
      <w:outlineLvl w:val="2"/>
    </w:pPr>
    <w:rPr>
      <w:rFonts w:asciiTheme="majorHAnsi" w:eastAsiaTheme="majorEastAsia" w:hAnsiTheme="majorHAnsi" w:cstheme="majorBidi"/>
      <w:color w:val="12102E"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8F5"/>
    <w:rPr>
      <w:rFonts w:asciiTheme="majorHAnsi" w:eastAsiaTheme="majorEastAsia" w:hAnsiTheme="majorHAnsi" w:cstheme="majorBidi"/>
      <w:b/>
      <w:bCs/>
      <w:spacing w:val="4"/>
      <w:sz w:val="24"/>
      <w:szCs w:val="28"/>
      <w:lang w:eastAsia="ja-JP"/>
    </w:rPr>
  </w:style>
  <w:style w:type="paragraph" w:styleId="Title">
    <w:name w:val="Title"/>
    <w:basedOn w:val="Normal"/>
    <w:next w:val="Normal"/>
    <w:link w:val="TitleChar"/>
    <w:uiPriority w:val="10"/>
    <w:qFormat/>
    <w:rsid w:val="007268F5"/>
    <w:pPr>
      <w:spacing w:before="120" w:after="12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268F5"/>
    <w:rPr>
      <w:rFonts w:asciiTheme="majorHAnsi" w:eastAsiaTheme="majorEastAsia" w:hAnsiTheme="majorHAnsi" w:cstheme="majorBidi"/>
      <w:b/>
      <w:bCs/>
      <w:spacing w:val="-7"/>
      <w:sz w:val="48"/>
      <w:szCs w:val="48"/>
      <w:lang w:eastAsia="ja-JP"/>
    </w:rPr>
  </w:style>
  <w:style w:type="paragraph" w:styleId="ListParagraph">
    <w:name w:val="List Paragraph"/>
    <w:basedOn w:val="Normal"/>
    <w:uiPriority w:val="34"/>
    <w:qFormat/>
    <w:rsid w:val="007268F5"/>
    <w:pPr>
      <w:ind w:left="720"/>
      <w:contextualSpacing/>
    </w:pPr>
  </w:style>
  <w:style w:type="paragraph" w:styleId="NoSpacing">
    <w:name w:val="No Spacing"/>
    <w:link w:val="NoSpacingChar"/>
    <w:uiPriority w:val="1"/>
    <w:qFormat/>
    <w:rsid w:val="007268F5"/>
    <w:pPr>
      <w:spacing w:after="0" w:line="240" w:lineRule="auto"/>
      <w:jc w:val="both"/>
    </w:pPr>
    <w:rPr>
      <w:rFonts w:eastAsiaTheme="minorEastAsia"/>
      <w:lang w:eastAsia="ja-JP"/>
    </w:rPr>
  </w:style>
  <w:style w:type="character" w:customStyle="1" w:styleId="NoSpacingChar">
    <w:name w:val="No Spacing Char"/>
    <w:basedOn w:val="DefaultParagraphFont"/>
    <w:link w:val="NoSpacing"/>
    <w:uiPriority w:val="1"/>
    <w:rsid w:val="007268F5"/>
    <w:rPr>
      <w:rFonts w:eastAsiaTheme="minorEastAsia"/>
      <w:lang w:eastAsia="ja-JP"/>
    </w:rPr>
  </w:style>
  <w:style w:type="paragraph" w:styleId="Header">
    <w:name w:val="header"/>
    <w:basedOn w:val="Normal"/>
    <w:link w:val="HeaderChar"/>
    <w:uiPriority w:val="99"/>
    <w:unhideWhenUsed/>
    <w:rsid w:val="0072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F5"/>
    <w:rPr>
      <w:rFonts w:eastAsiaTheme="minorEastAsia"/>
      <w:sz w:val="24"/>
      <w:lang w:eastAsia="ja-JP"/>
    </w:rPr>
  </w:style>
  <w:style w:type="paragraph" w:styleId="Footer">
    <w:name w:val="footer"/>
    <w:basedOn w:val="Normal"/>
    <w:link w:val="FooterChar"/>
    <w:uiPriority w:val="99"/>
    <w:unhideWhenUsed/>
    <w:rsid w:val="0072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8F5"/>
    <w:rPr>
      <w:rFonts w:eastAsiaTheme="minorEastAsia"/>
      <w:sz w:val="24"/>
      <w:lang w:eastAsia="ja-JP"/>
    </w:rPr>
  </w:style>
  <w:style w:type="table" w:styleId="TableGrid">
    <w:name w:val="Table Grid"/>
    <w:basedOn w:val="TableNormal"/>
    <w:uiPriority w:val="39"/>
    <w:rsid w:val="007268F5"/>
    <w:pPr>
      <w:spacing w:after="0" w:line="240" w:lineRule="auto"/>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8F5"/>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7268F5"/>
    <w:rPr>
      <w:color w:val="0563C1" w:themeColor="hyperlink"/>
      <w:u w:val="single"/>
    </w:rPr>
  </w:style>
  <w:style w:type="table" w:styleId="GridTable4-Accent4">
    <w:name w:val="Grid Table 4 Accent 4"/>
    <w:basedOn w:val="TableNormal"/>
    <w:uiPriority w:val="49"/>
    <w:rsid w:val="007268F5"/>
    <w:pPr>
      <w:spacing w:after="0" w:line="240" w:lineRule="auto"/>
      <w:jc w:val="both"/>
    </w:pPr>
    <w:rPr>
      <w:rFonts w:eastAsiaTheme="minorEastAsia"/>
      <w:lang w:eastAsia="ja-JP"/>
    </w:rPr>
    <w:tblPr>
      <w:tblStyleRowBandSize w:val="1"/>
      <w:tblStyleColBandSize w:val="1"/>
      <w:tblBorders>
        <w:top w:val="single" w:sz="4" w:space="0" w:color="EEC899" w:themeColor="accent4" w:themeTint="99"/>
        <w:left w:val="single" w:sz="4" w:space="0" w:color="EEC899" w:themeColor="accent4" w:themeTint="99"/>
        <w:bottom w:val="single" w:sz="4" w:space="0" w:color="EEC899" w:themeColor="accent4" w:themeTint="99"/>
        <w:right w:val="single" w:sz="4" w:space="0" w:color="EEC899" w:themeColor="accent4" w:themeTint="99"/>
        <w:insideH w:val="single" w:sz="4" w:space="0" w:color="EEC899" w:themeColor="accent4" w:themeTint="99"/>
        <w:insideV w:val="single" w:sz="4" w:space="0" w:color="EEC899" w:themeColor="accent4" w:themeTint="99"/>
      </w:tblBorders>
    </w:tblPr>
    <w:tblStylePr w:type="firstRow">
      <w:rPr>
        <w:b/>
        <w:bCs/>
        <w:color w:val="FFFFFF" w:themeColor="background1"/>
      </w:rPr>
      <w:tblPr/>
      <w:tcPr>
        <w:tcBorders>
          <w:top w:val="single" w:sz="4" w:space="0" w:color="E4A456" w:themeColor="accent4"/>
          <w:left w:val="single" w:sz="4" w:space="0" w:color="E4A456" w:themeColor="accent4"/>
          <w:bottom w:val="single" w:sz="4" w:space="0" w:color="E4A456" w:themeColor="accent4"/>
          <w:right w:val="single" w:sz="4" w:space="0" w:color="E4A456" w:themeColor="accent4"/>
          <w:insideH w:val="nil"/>
          <w:insideV w:val="nil"/>
        </w:tcBorders>
        <w:shd w:val="clear" w:color="auto" w:fill="E4A456" w:themeFill="accent4"/>
      </w:tcPr>
    </w:tblStylePr>
    <w:tblStylePr w:type="lastRow">
      <w:rPr>
        <w:b/>
        <w:bCs/>
      </w:rPr>
      <w:tblPr/>
      <w:tcPr>
        <w:tcBorders>
          <w:top w:val="double" w:sz="4" w:space="0" w:color="E4A456" w:themeColor="accent4"/>
        </w:tcBorders>
      </w:tcPr>
    </w:tblStylePr>
    <w:tblStylePr w:type="firstCol">
      <w:rPr>
        <w:b/>
        <w:bCs/>
      </w:rPr>
    </w:tblStylePr>
    <w:tblStylePr w:type="lastCol">
      <w:rPr>
        <w:b/>
        <w:bCs/>
      </w:rPr>
    </w:tblStylePr>
    <w:tblStylePr w:type="band1Vert">
      <w:tblPr/>
      <w:tcPr>
        <w:shd w:val="clear" w:color="auto" w:fill="F9ECDD" w:themeFill="accent4" w:themeFillTint="33"/>
      </w:tcPr>
    </w:tblStylePr>
    <w:tblStylePr w:type="band1Horz">
      <w:tblPr/>
      <w:tcPr>
        <w:shd w:val="clear" w:color="auto" w:fill="F9ECDD" w:themeFill="accent4" w:themeFillTint="33"/>
      </w:tcPr>
    </w:tblStylePr>
  </w:style>
  <w:style w:type="character" w:styleId="CommentReference">
    <w:name w:val="annotation reference"/>
    <w:basedOn w:val="DefaultParagraphFont"/>
    <w:uiPriority w:val="99"/>
    <w:semiHidden/>
    <w:unhideWhenUsed/>
    <w:rsid w:val="007268F5"/>
    <w:rPr>
      <w:sz w:val="16"/>
      <w:szCs w:val="16"/>
    </w:rPr>
  </w:style>
  <w:style w:type="paragraph" w:styleId="CommentText">
    <w:name w:val="annotation text"/>
    <w:basedOn w:val="Normal"/>
    <w:link w:val="CommentTextChar"/>
    <w:uiPriority w:val="99"/>
    <w:semiHidden/>
    <w:unhideWhenUsed/>
    <w:rsid w:val="007268F5"/>
    <w:pPr>
      <w:spacing w:line="240" w:lineRule="auto"/>
    </w:pPr>
    <w:rPr>
      <w:sz w:val="20"/>
      <w:szCs w:val="20"/>
    </w:rPr>
  </w:style>
  <w:style w:type="character" w:customStyle="1" w:styleId="CommentTextChar">
    <w:name w:val="Comment Text Char"/>
    <w:basedOn w:val="DefaultParagraphFont"/>
    <w:link w:val="CommentText"/>
    <w:uiPriority w:val="99"/>
    <w:semiHidden/>
    <w:rsid w:val="007268F5"/>
    <w:rPr>
      <w:rFonts w:eastAsiaTheme="minorEastAsia"/>
      <w:sz w:val="20"/>
      <w:szCs w:val="20"/>
      <w:lang w:eastAsia="ja-JP"/>
    </w:rPr>
  </w:style>
  <w:style w:type="paragraph" w:styleId="NormalWeb">
    <w:name w:val="Normal (Web)"/>
    <w:basedOn w:val="Normal"/>
    <w:uiPriority w:val="99"/>
    <w:semiHidden/>
    <w:unhideWhenUsed/>
    <w:rsid w:val="007268F5"/>
    <w:pPr>
      <w:spacing w:before="100" w:beforeAutospacing="1" w:after="100" w:afterAutospacing="1" w:line="240" w:lineRule="auto"/>
    </w:pPr>
    <w:rPr>
      <w:rFonts w:ascii="Times New Roman" w:eastAsia="Times New Roman" w:hAnsi="Times New Roman" w:cs="Times New Roman"/>
      <w:szCs w:val="24"/>
      <w:lang w:eastAsia="en-US"/>
    </w:rPr>
  </w:style>
  <w:style w:type="paragraph" w:styleId="BalloonText">
    <w:name w:val="Balloon Text"/>
    <w:basedOn w:val="Normal"/>
    <w:link w:val="BalloonTextChar"/>
    <w:uiPriority w:val="99"/>
    <w:semiHidden/>
    <w:unhideWhenUsed/>
    <w:rsid w:val="00726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F5"/>
    <w:rPr>
      <w:rFonts w:ascii="Segoe UI" w:eastAsiaTheme="minorEastAsia"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E70AC5"/>
    <w:rPr>
      <w:b/>
      <w:bCs/>
    </w:rPr>
  </w:style>
  <w:style w:type="character" w:customStyle="1" w:styleId="CommentSubjectChar">
    <w:name w:val="Comment Subject Char"/>
    <w:basedOn w:val="CommentTextChar"/>
    <w:link w:val="CommentSubject"/>
    <w:uiPriority w:val="99"/>
    <w:semiHidden/>
    <w:rsid w:val="00E70AC5"/>
    <w:rPr>
      <w:rFonts w:eastAsiaTheme="minorEastAsia"/>
      <w:b/>
      <w:bCs/>
      <w:sz w:val="20"/>
      <w:szCs w:val="20"/>
      <w:lang w:eastAsia="ja-JP"/>
    </w:rPr>
  </w:style>
  <w:style w:type="table" w:styleId="GridTable4-Accent1">
    <w:name w:val="Grid Table 4 Accent 1"/>
    <w:basedOn w:val="TableNormal"/>
    <w:uiPriority w:val="49"/>
    <w:rsid w:val="002C4D98"/>
    <w:pPr>
      <w:spacing w:after="0" w:line="240" w:lineRule="auto"/>
    </w:pPr>
    <w:tblPr>
      <w:tblStyleRowBandSize w:val="1"/>
      <w:tblStyleColBandSize w:val="1"/>
      <w:tblBorders>
        <w:top w:val="single" w:sz="4" w:space="0" w:color="5D54C3" w:themeColor="accent1" w:themeTint="99"/>
        <w:left w:val="single" w:sz="4" w:space="0" w:color="5D54C3" w:themeColor="accent1" w:themeTint="99"/>
        <w:bottom w:val="single" w:sz="4" w:space="0" w:color="5D54C3" w:themeColor="accent1" w:themeTint="99"/>
        <w:right w:val="single" w:sz="4" w:space="0" w:color="5D54C3" w:themeColor="accent1" w:themeTint="99"/>
        <w:insideH w:val="single" w:sz="4" w:space="0" w:color="5D54C3" w:themeColor="accent1" w:themeTint="99"/>
        <w:insideV w:val="single" w:sz="4" w:space="0" w:color="5D54C3" w:themeColor="accent1" w:themeTint="99"/>
      </w:tblBorders>
    </w:tblPr>
    <w:tblStylePr w:type="firstRow">
      <w:rPr>
        <w:b/>
        <w:bCs/>
        <w:color w:val="FFFFFF" w:themeColor="background1"/>
      </w:rPr>
      <w:tblPr/>
      <w:tcPr>
        <w:tcBorders>
          <w:top w:val="single" w:sz="4" w:space="0" w:color="26215E" w:themeColor="accent1"/>
          <w:left w:val="single" w:sz="4" w:space="0" w:color="26215E" w:themeColor="accent1"/>
          <w:bottom w:val="single" w:sz="4" w:space="0" w:color="26215E" w:themeColor="accent1"/>
          <w:right w:val="single" w:sz="4" w:space="0" w:color="26215E" w:themeColor="accent1"/>
          <w:insideH w:val="nil"/>
          <w:insideV w:val="nil"/>
        </w:tcBorders>
        <w:shd w:val="clear" w:color="auto" w:fill="26215E" w:themeFill="accent1"/>
      </w:tcPr>
    </w:tblStylePr>
    <w:tblStylePr w:type="lastRow">
      <w:rPr>
        <w:b/>
        <w:bCs/>
      </w:rPr>
      <w:tblPr/>
      <w:tcPr>
        <w:tcBorders>
          <w:top w:val="double" w:sz="4" w:space="0" w:color="26215E" w:themeColor="accent1"/>
        </w:tcBorders>
      </w:tcPr>
    </w:tblStylePr>
    <w:tblStylePr w:type="firstCol">
      <w:rPr>
        <w:b/>
        <w:bCs/>
      </w:rPr>
    </w:tblStylePr>
    <w:tblStylePr w:type="lastCol">
      <w:rPr>
        <w:b/>
        <w:bCs/>
      </w:rPr>
    </w:tblStylePr>
    <w:tblStylePr w:type="band1Vert">
      <w:tblPr/>
      <w:tcPr>
        <w:shd w:val="clear" w:color="auto" w:fill="C9C6EB" w:themeFill="accent1" w:themeFillTint="33"/>
      </w:tcPr>
    </w:tblStylePr>
    <w:tblStylePr w:type="band1Horz">
      <w:tblPr/>
      <w:tcPr>
        <w:shd w:val="clear" w:color="auto" w:fill="C9C6EB" w:themeFill="accent1" w:themeFillTint="33"/>
      </w:tcPr>
    </w:tblStylePr>
  </w:style>
  <w:style w:type="table" w:styleId="GridTable4">
    <w:name w:val="Grid Table 4"/>
    <w:basedOn w:val="TableNormal"/>
    <w:uiPriority w:val="49"/>
    <w:rsid w:val="002C4D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972B8"/>
    <w:pPr>
      <w:spacing w:after="0" w:line="240" w:lineRule="auto"/>
    </w:pPr>
    <w:rPr>
      <w:rFonts w:eastAsiaTheme="minorEastAsia"/>
      <w:sz w:val="24"/>
      <w:lang w:eastAsia="ja-JP"/>
    </w:rPr>
  </w:style>
  <w:style w:type="character" w:customStyle="1" w:styleId="apple-converted-space">
    <w:name w:val="apple-converted-space"/>
    <w:basedOn w:val="DefaultParagraphFont"/>
    <w:rsid w:val="00591778"/>
  </w:style>
  <w:style w:type="character" w:styleId="Emphasis">
    <w:name w:val="Emphasis"/>
    <w:basedOn w:val="DefaultParagraphFont"/>
    <w:uiPriority w:val="20"/>
    <w:qFormat/>
    <w:rsid w:val="00591778"/>
    <w:rPr>
      <w:i/>
      <w:iCs/>
    </w:rPr>
  </w:style>
  <w:style w:type="character" w:styleId="Strong">
    <w:name w:val="Strong"/>
    <w:basedOn w:val="DefaultParagraphFont"/>
    <w:uiPriority w:val="22"/>
    <w:qFormat/>
    <w:rsid w:val="00591778"/>
    <w:rPr>
      <w:b/>
      <w:bCs/>
    </w:rPr>
  </w:style>
  <w:style w:type="character" w:customStyle="1" w:styleId="Heading3Char">
    <w:name w:val="Heading 3 Char"/>
    <w:basedOn w:val="DefaultParagraphFont"/>
    <w:link w:val="Heading3"/>
    <w:uiPriority w:val="9"/>
    <w:semiHidden/>
    <w:rsid w:val="00666AE0"/>
    <w:rPr>
      <w:rFonts w:asciiTheme="majorHAnsi" w:eastAsiaTheme="majorEastAsia" w:hAnsiTheme="majorHAnsi" w:cstheme="majorBidi"/>
      <w:color w:val="12102E"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5679">
      <w:bodyDiv w:val="1"/>
      <w:marLeft w:val="0"/>
      <w:marRight w:val="0"/>
      <w:marTop w:val="0"/>
      <w:marBottom w:val="0"/>
      <w:divBdr>
        <w:top w:val="none" w:sz="0" w:space="0" w:color="auto"/>
        <w:left w:val="none" w:sz="0" w:space="0" w:color="auto"/>
        <w:bottom w:val="none" w:sz="0" w:space="0" w:color="auto"/>
        <w:right w:val="none" w:sz="0" w:space="0" w:color="auto"/>
      </w:divBdr>
      <w:divsChild>
        <w:div w:id="1599100900">
          <w:marLeft w:val="547"/>
          <w:marRight w:val="778"/>
          <w:marTop w:val="60"/>
          <w:marBottom w:val="120"/>
          <w:divBdr>
            <w:top w:val="none" w:sz="0" w:space="0" w:color="auto"/>
            <w:left w:val="none" w:sz="0" w:space="0" w:color="auto"/>
            <w:bottom w:val="none" w:sz="0" w:space="0" w:color="auto"/>
            <w:right w:val="none" w:sz="0" w:space="0" w:color="auto"/>
          </w:divBdr>
        </w:div>
        <w:div w:id="1672755082">
          <w:marLeft w:val="547"/>
          <w:marRight w:val="778"/>
          <w:marTop w:val="60"/>
          <w:marBottom w:val="120"/>
          <w:divBdr>
            <w:top w:val="none" w:sz="0" w:space="0" w:color="auto"/>
            <w:left w:val="none" w:sz="0" w:space="0" w:color="auto"/>
            <w:bottom w:val="none" w:sz="0" w:space="0" w:color="auto"/>
            <w:right w:val="none" w:sz="0" w:space="0" w:color="auto"/>
          </w:divBdr>
        </w:div>
        <w:div w:id="906916198">
          <w:marLeft w:val="1166"/>
          <w:marRight w:val="778"/>
          <w:marTop w:val="60"/>
          <w:marBottom w:val="120"/>
          <w:divBdr>
            <w:top w:val="none" w:sz="0" w:space="0" w:color="auto"/>
            <w:left w:val="none" w:sz="0" w:space="0" w:color="auto"/>
            <w:bottom w:val="none" w:sz="0" w:space="0" w:color="auto"/>
            <w:right w:val="none" w:sz="0" w:space="0" w:color="auto"/>
          </w:divBdr>
        </w:div>
        <w:div w:id="323123499">
          <w:marLeft w:val="1166"/>
          <w:marRight w:val="778"/>
          <w:marTop w:val="60"/>
          <w:marBottom w:val="120"/>
          <w:divBdr>
            <w:top w:val="none" w:sz="0" w:space="0" w:color="auto"/>
            <w:left w:val="none" w:sz="0" w:space="0" w:color="auto"/>
            <w:bottom w:val="none" w:sz="0" w:space="0" w:color="auto"/>
            <w:right w:val="none" w:sz="0" w:space="0" w:color="auto"/>
          </w:divBdr>
        </w:div>
        <w:div w:id="1623001235">
          <w:marLeft w:val="1166"/>
          <w:marRight w:val="778"/>
          <w:marTop w:val="60"/>
          <w:marBottom w:val="120"/>
          <w:divBdr>
            <w:top w:val="none" w:sz="0" w:space="0" w:color="auto"/>
            <w:left w:val="none" w:sz="0" w:space="0" w:color="auto"/>
            <w:bottom w:val="none" w:sz="0" w:space="0" w:color="auto"/>
            <w:right w:val="none" w:sz="0" w:space="0" w:color="auto"/>
          </w:divBdr>
        </w:div>
      </w:divsChild>
    </w:div>
    <w:div w:id="401561291">
      <w:bodyDiv w:val="1"/>
      <w:marLeft w:val="0"/>
      <w:marRight w:val="0"/>
      <w:marTop w:val="0"/>
      <w:marBottom w:val="0"/>
      <w:divBdr>
        <w:top w:val="none" w:sz="0" w:space="0" w:color="auto"/>
        <w:left w:val="none" w:sz="0" w:space="0" w:color="auto"/>
        <w:bottom w:val="none" w:sz="0" w:space="0" w:color="auto"/>
        <w:right w:val="none" w:sz="0" w:space="0" w:color="auto"/>
      </w:divBdr>
      <w:divsChild>
        <w:div w:id="826937417">
          <w:marLeft w:val="720"/>
          <w:marRight w:val="778"/>
          <w:marTop w:val="60"/>
          <w:marBottom w:val="120"/>
          <w:divBdr>
            <w:top w:val="none" w:sz="0" w:space="0" w:color="auto"/>
            <w:left w:val="none" w:sz="0" w:space="0" w:color="auto"/>
            <w:bottom w:val="none" w:sz="0" w:space="0" w:color="auto"/>
            <w:right w:val="none" w:sz="0" w:space="0" w:color="auto"/>
          </w:divBdr>
        </w:div>
        <w:div w:id="218781724">
          <w:marLeft w:val="720"/>
          <w:marRight w:val="778"/>
          <w:marTop w:val="60"/>
          <w:marBottom w:val="120"/>
          <w:divBdr>
            <w:top w:val="none" w:sz="0" w:space="0" w:color="auto"/>
            <w:left w:val="none" w:sz="0" w:space="0" w:color="auto"/>
            <w:bottom w:val="none" w:sz="0" w:space="0" w:color="auto"/>
            <w:right w:val="none" w:sz="0" w:space="0" w:color="auto"/>
          </w:divBdr>
        </w:div>
        <w:div w:id="2145732879">
          <w:marLeft w:val="720"/>
          <w:marRight w:val="0"/>
          <w:marTop w:val="60"/>
          <w:marBottom w:val="120"/>
          <w:divBdr>
            <w:top w:val="none" w:sz="0" w:space="0" w:color="auto"/>
            <w:left w:val="none" w:sz="0" w:space="0" w:color="auto"/>
            <w:bottom w:val="none" w:sz="0" w:space="0" w:color="auto"/>
            <w:right w:val="none" w:sz="0" w:space="0" w:color="auto"/>
          </w:divBdr>
        </w:div>
        <w:div w:id="1369800489">
          <w:marLeft w:val="720"/>
          <w:marRight w:val="0"/>
          <w:marTop w:val="60"/>
          <w:marBottom w:val="120"/>
          <w:divBdr>
            <w:top w:val="none" w:sz="0" w:space="0" w:color="auto"/>
            <w:left w:val="none" w:sz="0" w:space="0" w:color="auto"/>
            <w:bottom w:val="none" w:sz="0" w:space="0" w:color="auto"/>
            <w:right w:val="none" w:sz="0" w:space="0" w:color="auto"/>
          </w:divBdr>
        </w:div>
        <w:div w:id="1868761746">
          <w:marLeft w:val="720"/>
          <w:marRight w:val="634"/>
          <w:marTop w:val="60"/>
          <w:marBottom w:val="120"/>
          <w:divBdr>
            <w:top w:val="none" w:sz="0" w:space="0" w:color="auto"/>
            <w:left w:val="none" w:sz="0" w:space="0" w:color="auto"/>
            <w:bottom w:val="none" w:sz="0" w:space="0" w:color="auto"/>
            <w:right w:val="none" w:sz="0" w:space="0" w:color="auto"/>
          </w:divBdr>
        </w:div>
        <w:div w:id="1320384034">
          <w:marLeft w:val="720"/>
          <w:marRight w:val="0"/>
          <w:marTop w:val="60"/>
          <w:marBottom w:val="120"/>
          <w:divBdr>
            <w:top w:val="none" w:sz="0" w:space="0" w:color="auto"/>
            <w:left w:val="none" w:sz="0" w:space="0" w:color="auto"/>
            <w:bottom w:val="none" w:sz="0" w:space="0" w:color="auto"/>
            <w:right w:val="none" w:sz="0" w:space="0" w:color="auto"/>
          </w:divBdr>
        </w:div>
      </w:divsChild>
    </w:div>
    <w:div w:id="559251279">
      <w:bodyDiv w:val="1"/>
      <w:marLeft w:val="0"/>
      <w:marRight w:val="0"/>
      <w:marTop w:val="0"/>
      <w:marBottom w:val="0"/>
      <w:divBdr>
        <w:top w:val="none" w:sz="0" w:space="0" w:color="auto"/>
        <w:left w:val="none" w:sz="0" w:space="0" w:color="auto"/>
        <w:bottom w:val="none" w:sz="0" w:space="0" w:color="auto"/>
        <w:right w:val="none" w:sz="0" w:space="0" w:color="auto"/>
      </w:divBdr>
    </w:div>
    <w:div w:id="711076617">
      <w:bodyDiv w:val="1"/>
      <w:marLeft w:val="0"/>
      <w:marRight w:val="0"/>
      <w:marTop w:val="0"/>
      <w:marBottom w:val="0"/>
      <w:divBdr>
        <w:top w:val="none" w:sz="0" w:space="0" w:color="auto"/>
        <w:left w:val="none" w:sz="0" w:space="0" w:color="auto"/>
        <w:bottom w:val="none" w:sz="0" w:space="0" w:color="auto"/>
        <w:right w:val="none" w:sz="0" w:space="0" w:color="auto"/>
      </w:divBdr>
      <w:divsChild>
        <w:div w:id="2121954344">
          <w:marLeft w:val="720"/>
          <w:marRight w:val="778"/>
          <w:marTop w:val="60"/>
          <w:marBottom w:val="120"/>
          <w:divBdr>
            <w:top w:val="none" w:sz="0" w:space="0" w:color="auto"/>
            <w:left w:val="none" w:sz="0" w:space="0" w:color="auto"/>
            <w:bottom w:val="none" w:sz="0" w:space="0" w:color="auto"/>
            <w:right w:val="none" w:sz="0" w:space="0" w:color="auto"/>
          </w:divBdr>
        </w:div>
        <w:div w:id="640618210">
          <w:marLeft w:val="720"/>
          <w:marRight w:val="778"/>
          <w:marTop w:val="60"/>
          <w:marBottom w:val="120"/>
          <w:divBdr>
            <w:top w:val="none" w:sz="0" w:space="0" w:color="auto"/>
            <w:left w:val="none" w:sz="0" w:space="0" w:color="auto"/>
            <w:bottom w:val="none" w:sz="0" w:space="0" w:color="auto"/>
            <w:right w:val="none" w:sz="0" w:space="0" w:color="auto"/>
          </w:divBdr>
        </w:div>
        <w:div w:id="933367712">
          <w:marLeft w:val="720"/>
          <w:marRight w:val="0"/>
          <w:marTop w:val="60"/>
          <w:marBottom w:val="120"/>
          <w:divBdr>
            <w:top w:val="none" w:sz="0" w:space="0" w:color="auto"/>
            <w:left w:val="none" w:sz="0" w:space="0" w:color="auto"/>
            <w:bottom w:val="none" w:sz="0" w:space="0" w:color="auto"/>
            <w:right w:val="none" w:sz="0" w:space="0" w:color="auto"/>
          </w:divBdr>
        </w:div>
        <w:div w:id="2082211916">
          <w:marLeft w:val="720"/>
          <w:marRight w:val="0"/>
          <w:marTop w:val="60"/>
          <w:marBottom w:val="120"/>
          <w:divBdr>
            <w:top w:val="none" w:sz="0" w:space="0" w:color="auto"/>
            <w:left w:val="none" w:sz="0" w:space="0" w:color="auto"/>
            <w:bottom w:val="none" w:sz="0" w:space="0" w:color="auto"/>
            <w:right w:val="none" w:sz="0" w:space="0" w:color="auto"/>
          </w:divBdr>
        </w:div>
        <w:div w:id="1098016139">
          <w:marLeft w:val="720"/>
          <w:marRight w:val="634"/>
          <w:marTop w:val="60"/>
          <w:marBottom w:val="120"/>
          <w:divBdr>
            <w:top w:val="none" w:sz="0" w:space="0" w:color="auto"/>
            <w:left w:val="none" w:sz="0" w:space="0" w:color="auto"/>
            <w:bottom w:val="none" w:sz="0" w:space="0" w:color="auto"/>
            <w:right w:val="none" w:sz="0" w:space="0" w:color="auto"/>
          </w:divBdr>
        </w:div>
        <w:div w:id="147748193">
          <w:marLeft w:val="720"/>
          <w:marRight w:val="0"/>
          <w:marTop w:val="60"/>
          <w:marBottom w:val="120"/>
          <w:divBdr>
            <w:top w:val="none" w:sz="0" w:space="0" w:color="auto"/>
            <w:left w:val="none" w:sz="0" w:space="0" w:color="auto"/>
            <w:bottom w:val="none" w:sz="0" w:space="0" w:color="auto"/>
            <w:right w:val="none" w:sz="0" w:space="0" w:color="auto"/>
          </w:divBdr>
        </w:div>
      </w:divsChild>
    </w:div>
    <w:div w:id="830214610">
      <w:bodyDiv w:val="1"/>
      <w:marLeft w:val="0"/>
      <w:marRight w:val="0"/>
      <w:marTop w:val="0"/>
      <w:marBottom w:val="0"/>
      <w:divBdr>
        <w:top w:val="none" w:sz="0" w:space="0" w:color="auto"/>
        <w:left w:val="none" w:sz="0" w:space="0" w:color="auto"/>
        <w:bottom w:val="none" w:sz="0" w:space="0" w:color="auto"/>
        <w:right w:val="none" w:sz="0" w:space="0" w:color="auto"/>
      </w:divBdr>
    </w:div>
    <w:div w:id="1590851872">
      <w:bodyDiv w:val="1"/>
      <w:marLeft w:val="0"/>
      <w:marRight w:val="0"/>
      <w:marTop w:val="0"/>
      <w:marBottom w:val="0"/>
      <w:divBdr>
        <w:top w:val="none" w:sz="0" w:space="0" w:color="auto"/>
        <w:left w:val="none" w:sz="0" w:space="0" w:color="auto"/>
        <w:bottom w:val="none" w:sz="0" w:space="0" w:color="auto"/>
        <w:right w:val="none" w:sz="0" w:space="0" w:color="auto"/>
      </w:divBdr>
    </w:div>
    <w:div w:id="1620603116">
      <w:bodyDiv w:val="1"/>
      <w:marLeft w:val="0"/>
      <w:marRight w:val="0"/>
      <w:marTop w:val="0"/>
      <w:marBottom w:val="0"/>
      <w:divBdr>
        <w:top w:val="none" w:sz="0" w:space="0" w:color="auto"/>
        <w:left w:val="none" w:sz="0" w:space="0" w:color="auto"/>
        <w:bottom w:val="none" w:sz="0" w:space="0" w:color="auto"/>
        <w:right w:val="none" w:sz="0" w:space="0" w:color="auto"/>
      </w:divBdr>
      <w:divsChild>
        <w:div w:id="329060482">
          <w:marLeft w:val="720"/>
          <w:marRight w:val="778"/>
          <w:marTop w:val="60"/>
          <w:marBottom w:val="120"/>
          <w:divBdr>
            <w:top w:val="none" w:sz="0" w:space="0" w:color="auto"/>
            <w:left w:val="none" w:sz="0" w:space="0" w:color="auto"/>
            <w:bottom w:val="none" w:sz="0" w:space="0" w:color="auto"/>
            <w:right w:val="none" w:sz="0" w:space="0" w:color="auto"/>
          </w:divBdr>
        </w:div>
        <w:div w:id="641424445">
          <w:marLeft w:val="720"/>
          <w:marRight w:val="778"/>
          <w:marTop w:val="60"/>
          <w:marBottom w:val="120"/>
          <w:divBdr>
            <w:top w:val="none" w:sz="0" w:space="0" w:color="auto"/>
            <w:left w:val="none" w:sz="0" w:space="0" w:color="auto"/>
            <w:bottom w:val="none" w:sz="0" w:space="0" w:color="auto"/>
            <w:right w:val="none" w:sz="0" w:space="0" w:color="auto"/>
          </w:divBdr>
        </w:div>
        <w:div w:id="1445540331">
          <w:marLeft w:val="720"/>
          <w:marRight w:val="0"/>
          <w:marTop w:val="60"/>
          <w:marBottom w:val="120"/>
          <w:divBdr>
            <w:top w:val="none" w:sz="0" w:space="0" w:color="auto"/>
            <w:left w:val="none" w:sz="0" w:space="0" w:color="auto"/>
            <w:bottom w:val="none" w:sz="0" w:space="0" w:color="auto"/>
            <w:right w:val="none" w:sz="0" w:space="0" w:color="auto"/>
          </w:divBdr>
        </w:div>
        <w:div w:id="436146096">
          <w:marLeft w:val="720"/>
          <w:marRight w:val="0"/>
          <w:marTop w:val="60"/>
          <w:marBottom w:val="120"/>
          <w:divBdr>
            <w:top w:val="none" w:sz="0" w:space="0" w:color="auto"/>
            <w:left w:val="none" w:sz="0" w:space="0" w:color="auto"/>
            <w:bottom w:val="none" w:sz="0" w:space="0" w:color="auto"/>
            <w:right w:val="none" w:sz="0" w:space="0" w:color="auto"/>
          </w:divBdr>
        </w:div>
        <w:div w:id="132410219">
          <w:marLeft w:val="720"/>
          <w:marRight w:val="634"/>
          <w:marTop w:val="60"/>
          <w:marBottom w:val="120"/>
          <w:divBdr>
            <w:top w:val="none" w:sz="0" w:space="0" w:color="auto"/>
            <w:left w:val="none" w:sz="0" w:space="0" w:color="auto"/>
            <w:bottom w:val="none" w:sz="0" w:space="0" w:color="auto"/>
            <w:right w:val="none" w:sz="0" w:space="0" w:color="auto"/>
          </w:divBdr>
        </w:div>
        <w:div w:id="845940442">
          <w:marLeft w:val="720"/>
          <w:marRight w:val="0"/>
          <w:marTop w:val="60"/>
          <w:marBottom w:val="120"/>
          <w:divBdr>
            <w:top w:val="none" w:sz="0" w:space="0" w:color="auto"/>
            <w:left w:val="none" w:sz="0" w:space="0" w:color="auto"/>
            <w:bottom w:val="none" w:sz="0" w:space="0" w:color="auto"/>
            <w:right w:val="none" w:sz="0" w:space="0" w:color="auto"/>
          </w:divBdr>
        </w:div>
      </w:divsChild>
    </w:div>
    <w:div w:id="17896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gnite.com/resources/faq-about-merit-based-incentive-payment-mi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sonlj@ihc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sonlj@ihc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carecommunities.org" TargetMode="External"/><Relationship Id="rId4" Type="http://schemas.openxmlformats.org/officeDocument/2006/relationships/settings" Target="settings.xml"/><Relationship Id="rId9" Type="http://schemas.openxmlformats.org/officeDocument/2006/relationships/hyperlink" Target="mailto:nugentm@ihc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6215E"/>
      </a:accent1>
      <a:accent2>
        <a:srgbClr val="C71F4A"/>
      </a:accent2>
      <a:accent3>
        <a:srgbClr val="5A6771"/>
      </a:accent3>
      <a:accent4>
        <a:srgbClr val="E4A456"/>
      </a:accent4>
      <a:accent5>
        <a:srgbClr val="51BECE"/>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A451-32D5-42B4-9D06-61D43BAB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2746</Words>
  <Characters>15656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Quick,Ashley</dc:creator>
  <cp:keywords/>
  <dc:description/>
  <cp:lastModifiedBy>Toni Dixon- Kansas Healthcare Collaborative</cp:lastModifiedBy>
  <cp:revision>2</cp:revision>
  <cp:lastPrinted>2016-03-15T13:52:00Z</cp:lastPrinted>
  <dcterms:created xsi:type="dcterms:W3CDTF">2017-02-23T17:16:00Z</dcterms:created>
  <dcterms:modified xsi:type="dcterms:W3CDTF">2017-02-23T17:16:00Z</dcterms:modified>
</cp:coreProperties>
</file>